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3DC5" w14:textId="77777777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630B7B24" w14:textId="77777777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4A800658" w14:textId="77777777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C8037E2" w14:textId="77777777" w:rsidR="00683F29" w:rsidRDefault="00683F29" w:rsidP="00683F29">
      <w:pPr>
        <w:rPr>
          <w:color w:val="306895" w:themeColor="accent2" w:themeShade="BF"/>
        </w:rPr>
      </w:pPr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p w14:paraId="4DECB1BE" w14:textId="77777777" w:rsidR="003F6213" w:rsidRDefault="003F6213" w:rsidP="00683F29">
      <w:pPr>
        <w:rPr>
          <w:color w:val="306895" w:themeColor="accent2" w:themeShade="BF"/>
        </w:rPr>
      </w:pPr>
    </w:p>
    <w:p w14:paraId="0C6B9B4C" w14:textId="77777777" w:rsidR="003F6213" w:rsidRDefault="003F6213" w:rsidP="00683F29">
      <w:pPr>
        <w:rPr>
          <w:color w:val="306895" w:themeColor="accent2" w:themeShade="BF"/>
        </w:rPr>
      </w:pPr>
    </w:p>
    <w:p w14:paraId="17315AD9" w14:textId="77777777" w:rsidR="003F6213" w:rsidRP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F6213">
        <w:rPr>
          <w:b/>
        </w:rPr>
        <w:t>Allgemeine Hinweise zur Berichtslegung:</w:t>
      </w:r>
    </w:p>
    <w:p w14:paraId="5B76FF10" w14:textId="77777777" w:rsid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 Rahmen der Förderung von Innovationslaboren sind Fördernehmer verpflichtet Zwischen- und Endberichte als auch </w:t>
      </w:r>
      <w:proofErr w:type="spellStart"/>
      <w:r>
        <w:t>Monitoringberichte</w:t>
      </w:r>
      <w:proofErr w:type="spellEnd"/>
      <w:r>
        <w:t xml:space="preserve"> zu legen. Mit den jeweiligen Vorlagen sind unterschiedliche Informationen zu berichten. Die Trennung der Berichtsvorlagen basiert auf beihilferechtlichen Bestimmungen.</w:t>
      </w:r>
    </w:p>
    <w:p w14:paraId="7F23E68B" w14:textId="77777777" w:rsid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506B9E" w14:textId="77777777" w:rsidR="003F6213" w:rsidRP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F6213">
        <w:rPr>
          <w:b/>
        </w:rPr>
        <w:t xml:space="preserve">Definition Zwischen- und Endberichte: </w:t>
      </w:r>
    </w:p>
    <w:p w14:paraId="6B3D4F75" w14:textId="77777777" w:rsid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Sie dienen ausschließlich der Darstellung der Investition / des Einsatzes der Förderung und des Aufbaues des Innovationslabors. Zwischen- und Endberichte sind jene Prüfgrundlage, welche sich auf den Förderungszeitraum beschränken.</w:t>
      </w:r>
    </w:p>
    <w:p w14:paraId="2A1E2B26" w14:textId="77777777" w:rsid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A1D28" w14:textId="77777777" w:rsidR="003F6213" w:rsidRP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F6213">
        <w:rPr>
          <w:b/>
        </w:rPr>
        <w:t xml:space="preserve">Definition </w:t>
      </w:r>
      <w:proofErr w:type="spellStart"/>
      <w:r w:rsidRPr="003F6213">
        <w:rPr>
          <w:b/>
        </w:rPr>
        <w:t>Monitoringbericht</w:t>
      </w:r>
      <w:proofErr w:type="spellEnd"/>
      <w:r w:rsidRPr="003F6213">
        <w:rPr>
          <w:b/>
        </w:rPr>
        <w:t xml:space="preserve">: </w:t>
      </w:r>
    </w:p>
    <w:p w14:paraId="1BED64E5" w14:textId="77777777" w:rsidR="003F6213" w:rsidRPr="007C2960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 dient ausschließlich der Darstellung der Nutzung und des Betriebes und damit verbundener Fragestellungen im Rahmen de</w:t>
      </w:r>
      <w:r w:rsidR="00C64491">
        <w:t xml:space="preserve">s finanzierten </w:t>
      </w:r>
      <w:r>
        <w:t xml:space="preserve">Innovationslabors. Das Monitoring beginnt ab dem Zeitpunkt der Nutzung und endet mit dem Ende der </w:t>
      </w:r>
      <w:r w:rsidRPr="007C2960">
        <w:t xml:space="preserve">Abschreibung (frühestens nach 5 Jahren). </w:t>
      </w:r>
    </w:p>
    <w:p w14:paraId="7D44651A" w14:textId="77777777" w:rsid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2960">
        <w:t>Ausnahme: Im Rahmen des Instrumentes Innovationslabor können in Abhängigkeit von Ausschreibungsziel und –</w:t>
      </w:r>
      <w:proofErr w:type="spellStart"/>
      <w:r w:rsidRPr="007C2960">
        <w:t>inhalt</w:t>
      </w:r>
      <w:proofErr w:type="spellEnd"/>
      <w:r w:rsidRPr="007C2960">
        <w:t xml:space="preserve"> auch Vorhaben gefördert werden, die ausschließlich Personalkosten beinhalten. In diesem Fall endet das Monitoring zeitgleich mit dem Ende der Förderungsphase.</w:t>
      </w:r>
    </w:p>
    <w:p w14:paraId="43E79453" w14:textId="77777777" w:rsidR="003F6213" w:rsidRDefault="003F6213" w:rsidP="0071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(Der Hinweis-Kasten kann im Rahmen der Berichtslegung gelöscht werden)</w:t>
      </w:r>
    </w:p>
    <w:bookmarkEnd w:id="0"/>
    <w:bookmarkEnd w:id="1"/>
    <w:bookmarkEnd w:id="2"/>
    <w:p w14:paraId="263213FD" w14:textId="77777777" w:rsidR="00096848" w:rsidRPr="00B31331" w:rsidRDefault="00683F29" w:rsidP="009C1F04">
      <w:pPr>
        <w:pStyle w:val="berschrift1"/>
      </w:pPr>
      <w:r w:rsidRPr="00B31331">
        <w:t>Ziele und Ergebnisse</w:t>
      </w:r>
    </w:p>
    <w:p w14:paraId="6A359099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3F9268F" w14:textId="77777777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284901C9" w14:textId="7777777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13D63A96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1C9259AC" w14:textId="77777777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3586D268" w14:textId="77777777" w:rsidR="00C07EF4" w:rsidRPr="00096848" w:rsidRDefault="00C07EF4" w:rsidP="009C1F04">
      <w:pPr>
        <w:pStyle w:val="berschrift1"/>
      </w:pPr>
      <w:r>
        <w:lastRenderedPageBreak/>
        <w:t>Arbeitspakete und meilensteine</w:t>
      </w:r>
    </w:p>
    <w:p w14:paraId="1042BF18" w14:textId="77777777" w:rsidR="00BB6088" w:rsidRPr="00B31331" w:rsidRDefault="003D7FA1" w:rsidP="00B31331">
      <w:pPr>
        <w:pStyle w:val="berschrift2"/>
      </w:pPr>
      <w:r w:rsidRPr="00B31331">
        <w:t>Übersicht</w:t>
      </w:r>
    </w:p>
    <w:p w14:paraId="6BA9B0FE" w14:textId="77777777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F7DFBB" w14:textId="77777777" w:rsidR="001F1150" w:rsidRDefault="001F1150" w:rsidP="001F1150">
      <w:pPr>
        <w:pStyle w:val="Beschriftung"/>
        <w:keepNext/>
      </w:pPr>
      <w:r>
        <w:t xml:space="preserve">Tabelle </w:t>
      </w:r>
      <w:r w:rsidR="00B52D1E">
        <w:fldChar w:fldCharType="begin"/>
      </w:r>
      <w:r w:rsidR="00B52D1E">
        <w:instrText xml:space="preserve"> SEQ Tabelle \* ARABIC </w:instrText>
      </w:r>
      <w:r w:rsidR="00B52D1E">
        <w:fldChar w:fldCharType="separate"/>
      </w:r>
      <w:r w:rsidR="008E3A12">
        <w:rPr>
          <w:noProof/>
        </w:rPr>
        <w:t>1</w:t>
      </w:r>
      <w:r w:rsidR="00B52D1E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01EB7694" w14:textId="77777777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2B4EF2A9" w14:textId="77777777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0EBFFC30" w14:textId="77777777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763A7927" w14:textId="77777777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3C46C474" w14:textId="77777777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03C0F095" w14:textId="77777777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130B67A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4D52E55" w14:textId="77777777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15F2C5A" w14:textId="77777777" w:rsidR="00316A86" w:rsidRDefault="00B52D1E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3B353863" w14:textId="77777777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1B292C" w14:textId="77777777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BDA2F11" w14:textId="77777777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1C4C55BA" w14:textId="77777777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7817D0A" w14:textId="77777777" w:rsidR="00316A86" w:rsidRDefault="00B52D1E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7DA6B282" w14:textId="77777777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05A49CBD" w14:textId="77777777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007783E" w14:textId="77777777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499CB4B8" w14:textId="77777777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1BCDDAA7" w14:textId="77777777" w:rsidR="00316A86" w:rsidRPr="002B014C" w:rsidRDefault="00B52D1E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4349EA0C" w14:textId="77777777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02DD238A" w14:textId="77777777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71DB1FD" w14:textId="77777777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6941FAA5" w14:textId="77777777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23396D93" w14:textId="77777777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6D2D6DE0" w14:textId="77777777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8A90DAA" w14:textId="77777777" w:rsidR="003D7FA1" w:rsidRDefault="003D7FA1" w:rsidP="003D7FA1">
      <w:pPr>
        <w:pStyle w:val="Beschriftung"/>
        <w:keepNext/>
      </w:pPr>
    </w:p>
    <w:p w14:paraId="087E3D3B" w14:textId="77777777" w:rsidR="003D7FA1" w:rsidRDefault="003D7FA1" w:rsidP="003D7FA1">
      <w:pPr>
        <w:pStyle w:val="Beschriftung"/>
        <w:keepNext/>
      </w:pPr>
      <w:r>
        <w:t xml:space="preserve">Tabelle </w:t>
      </w:r>
      <w:r w:rsidR="00B52D1E">
        <w:fldChar w:fldCharType="begin"/>
      </w:r>
      <w:r w:rsidR="00B52D1E">
        <w:instrText xml:space="preserve"> SEQ Tabelle \* ARABIC </w:instrText>
      </w:r>
      <w:r w:rsidR="00B52D1E">
        <w:fldChar w:fldCharType="separate"/>
      </w:r>
      <w:r w:rsidR="007A46B5">
        <w:rPr>
          <w:noProof/>
        </w:rPr>
        <w:t>2</w:t>
      </w:r>
      <w:r w:rsidR="00B52D1E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159B8A5D" w14:textId="77777777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6DFFBE66" w14:textId="77777777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07383137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11C4BCA9" w14:textId="77777777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43866348" w14:textId="7777777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3E1B1D9" w14:textId="77777777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0B17D706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2CA0AE5D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2B4DED91" w14:textId="45A354BB" w:rsidR="00110D2F" w:rsidRPr="002B014C" w:rsidRDefault="007C2FFC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MM/YYYY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679FADF6" w14:textId="77777777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2C30B57" w14:textId="77777777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3470B8DC" w14:textId="77777777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6370A078" w14:textId="77777777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72C8FF8C" w14:textId="77777777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2400838A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4F96EA03" w14:textId="77777777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6B9C5406" w14:textId="77777777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67504956" w14:textId="77777777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E1A5C76" w14:textId="77777777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2459C3C8" w14:textId="77777777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22B889E1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1C8E3563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6A2D6BB" w14:textId="77777777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00148D84" w14:textId="77777777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2F85C2AB" w14:textId="77777777" w:rsidR="00BB6088" w:rsidRPr="009C1F04" w:rsidRDefault="006261D9" w:rsidP="009C1F04">
      <w:pPr>
        <w:pStyle w:val="berschrift1"/>
      </w:pPr>
      <w:r w:rsidRPr="009C1F04">
        <w:lastRenderedPageBreak/>
        <w:t>Projektteam und Kooperation</w:t>
      </w:r>
    </w:p>
    <w:p w14:paraId="3989D910" w14:textId="52E925CA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proofErr w:type="gramStart"/>
      <w:r w:rsidRPr="00DC56BE">
        <w:t>Schlüsselmitar</w:t>
      </w:r>
      <w:r w:rsidR="00D64A4D">
        <w:softHyphen/>
      </w:r>
      <w:r w:rsidRPr="00DC56BE">
        <w:t>beiter</w:t>
      </w:r>
      <w:r w:rsidR="007C2FFC">
        <w:t>:</w:t>
      </w:r>
      <w:r w:rsidR="00E30B89">
        <w:t>i</w:t>
      </w:r>
      <w:r>
        <w:t>nnen</w:t>
      </w:r>
      <w:proofErr w:type="spellEnd"/>
      <w:proofErr w:type="gram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7859121A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0C1860BE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1E43FEB7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318F73F8" w14:textId="77777777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6760C17D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5EBD4CC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434F374E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510970B8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2362453" w14:textId="77777777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221C6A0F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371D7620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04977B4" w14:textId="77777777" w:rsidR="00003560" w:rsidRDefault="00003560" w:rsidP="009C1F04">
      <w:pPr>
        <w:pStyle w:val="berschrift1"/>
      </w:pPr>
      <w:r>
        <w:t>Erläuterung zu Kosten &amp; Finanzierung</w:t>
      </w:r>
    </w:p>
    <w:p w14:paraId="1D81F235" w14:textId="77777777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1D35AF7A" w14:textId="77777777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F99A37A" w14:textId="77777777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34215617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DF070DE" w14:textId="77777777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0C26DD8D" w14:textId="638C0928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</w:t>
      </w:r>
      <w:r w:rsidR="00B52D1E">
        <w:t>edingungen und Auflagen (laut §8</w:t>
      </w:r>
      <w:bookmarkStart w:id="10" w:name="_GoBack"/>
      <w:bookmarkEnd w:id="10"/>
      <w:r w:rsidRPr="00DC56BE">
        <w:t xml:space="preserve">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4A0E291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C4B1A0B" w14:textId="77777777" w:rsidR="00003560" w:rsidRDefault="00003560" w:rsidP="009C1F04">
      <w:pPr>
        <w:pStyle w:val="berschrift1"/>
      </w:pPr>
      <w:r>
        <w:t>Meldungspflichtige Ereignisse</w:t>
      </w:r>
    </w:p>
    <w:p w14:paraId="0832E4CD" w14:textId="7777777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238046EB" w14:textId="59E0E365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proofErr w:type="spellStart"/>
      <w:proofErr w:type="gramStart"/>
      <w:r w:rsidR="00854D29">
        <w:t>Förder</w:t>
      </w:r>
      <w:r w:rsidRPr="00DC56BE">
        <w:t>nehmer</w:t>
      </w:r>
      <w:r w:rsidR="007C2FFC">
        <w:t>:</w:t>
      </w:r>
      <w:r w:rsidR="00E30B89">
        <w:t>i</w:t>
      </w:r>
      <w:r w:rsidR="007730E3">
        <w:t>nnen</w:t>
      </w:r>
      <w:proofErr w:type="spellEnd"/>
      <w:proofErr w:type="gramEnd"/>
      <w:r w:rsidR="00221F9D">
        <w:t>,</w:t>
      </w:r>
    </w:p>
    <w:p w14:paraId="0B2D72ED" w14:textId="77777777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699EA17F" w14:textId="77777777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05A67635" w14:textId="77777777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E118666" w14:textId="77777777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685A5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CA82" w14:textId="77777777" w:rsidR="000B1CC5" w:rsidRDefault="000B1CC5" w:rsidP="006651B7">
      <w:r>
        <w:separator/>
      </w:r>
    </w:p>
    <w:p w14:paraId="3A8E7BB9" w14:textId="77777777" w:rsidR="000B1CC5" w:rsidRDefault="000B1CC5"/>
  </w:endnote>
  <w:endnote w:type="continuationSeparator" w:id="0">
    <w:p w14:paraId="6DE14847" w14:textId="77777777" w:rsidR="000B1CC5" w:rsidRDefault="000B1CC5" w:rsidP="006651B7">
      <w:r>
        <w:continuationSeparator/>
      </w:r>
    </w:p>
    <w:p w14:paraId="769EC28D" w14:textId="77777777" w:rsidR="000B1CC5" w:rsidRDefault="000B1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5FAB1D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E3440D1" w14:textId="77777777" w:rsidR="00FF3183" w:rsidRDefault="00FF3183" w:rsidP="0045517C">
    <w:pPr>
      <w:pStyle w:val="Fuzeile"/>
      <w:ind w:right="360" w:firstLine="360"/>
    </w:pPr>
  </w:p>
  <w:p w14:paraId="75A75E20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95AA" w14:textId="706429EE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B52D1E">
      <w:t>30.11.2023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B52D1E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B52D1E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3246" w14:textId="799C2875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B52D1E">
      <w:t>30.11.2023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B52D1E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B52D1E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FF2E9" w14:textId="77777777" w:rsidR="000B1CC5" w:rsidRDefault="000B1CC5" w:rsidP="006651B7">
      <w:r>
        <w:separator/>
      </w:r>
    </w:p>
  </w:footnote>
  <w:footnote w:type="continuationSeparator" w:id="0">
    <w:p w14:paraId="34BE799E" w14:textId="77777777" w:rsidR="000B1CC5" w:rsidRDefault="000B1CC5" w:rsidP="006651B7">
      <w:r>
        <w:continuationSeparator/>
      </w:r>
    </w:p>
    <w:p w14:paraId="0A4C7A5E" w14:textId="77777777" w:rsidR="000B1CC5" w:rsidRDefault="000B1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9BCD0" w14:textId="77777777" w:rsidR="00FC12A4" w:rsidRDefault="00B52D1E">
    <w:pPr>
      <w:pStyle w:val="Kopfzeile"/>
    </w:pPr>
    <w:r>
      <w:rPr>
        <w:noProof/>
      </w:rPr>
      <w:pict w14:anchorId="2302F4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088F" w14:textId="56C5581A" w:rsidR="00E30B89" w:rsidRPr="00F926AE" w:rsidRDefault="00F926AE" w:rsidP="00B31331">
    <w:pPr>
      <w:pStyle w:val="Kopfzeile"/>
    </w:pPr>
    <w:r w:rsidRPr="00574441">
      <w:t xml:space="preserve">FFG-Programm/Instrument: </w:t>
    </w:r>
    <w:r w:rsidR="007C2FFC">
      <w:t>Produktion der Zukunft, 42</w:t>
    </w:r>
    <w:r w:rsidR="00E30B89">
      <w:t>. Ausschreibung/</w:t>
    </w:r>
    <w:r w:rsidR="00E30B89" w:rsidRPr="00E30B89">
      <w:t xml:space="preserve"> </w:t>
    </w:r>
    <w:r w:rsidR="00E30B89">
      <w:t>Innovationslabor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B1CC5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3F6213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1A15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8F2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2960"/>
    <w:rsid w:val="007C2FFC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66D35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1D47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2D1E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4491"/>
    <w:rsid w:val="00C6737F"/>
    <w:rsid w:val="00C67A55"/>
    <w:rsid w:val="00C75207"/>
    <w:rsid w:val="00C75BFB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30B89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E75BE4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D03C07C-0DD8-4C72-9FC0-9B310C9E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825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Nikolaus Resch</cp:lastModifiedBy>
  <cp:revision>9</cp:revision>
  <cp:lastPrinted>2019-07-26T08:22:00Z</cp:lastPrinted>
  <dcterms:created xsi:type="dcterms:W3CDTF">2021-05-21T11:04:00Z</dcterms:created>
  <dcterms:modified xsi:type="dcterms:W3CDTF">2023-11-30T11:04:00Z</dcterms:modified>
</cp:coreProperties>
</file>