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29" w:rsidRPr="001B3529" w:rsidRDefault="001B3529" w:rsidP="001B3529">
      <w:r w:rsidRPr="001B3529">
        <w:rPr>
          <w:b/>
          <w:bCs/>
          <w:u w:val="single"/>
        </w:rPr>
        <w:t xml:space="preserve">Information zur technischen Dokumentation </w:t>
      </w:r>
      <w:r w:rsidR="004E4DBC">
        <w:rPr>
          <w:b/>
          <w:bCs/>
          <w:u w:val="single"/>
        </w:rPr>
        <w:t xml:space="preserve">von Infrastrukturen </w:t>
      </w:r>
      <w:r>
        <w:rPr>
          <w:b/>
          <w:bCs/>
          <w:u w:val="single"/>
        </w:rPr>
        <w:t>der</w:t>
      </w:r>
      <w:r w:rsidRPr="001B3529">
        <w:rPr>
          <w:b/>
          <w:bCs/>
          <w:u w:val="single"/>
        </w:rPr>
        <w:t xml:space="preserve"> Breitband</w:t>
      </w:r>
      <w:r w:rsidR="004E4DBC">
        <w:rPr>
          <w:b/>
          <w:bCs/>
          <w:u w:val="single"/>
        </w:rPr>
        <w:t>-F</w:t>
      </w:r>
      <w:r w:rsidRPr="001B3529">
        <w:rPr>
          <w:b/>
          <w:bCs/>
          <w:u w:val="single"/>
        </w:rPr>
        <w:t>örderung</w:t>
      </w:r>
      <w:r w:rsidR="004E4DBC">
        <w:rPr>
          <w:b/>
          <w:bCs/>
          <w:u w:val="single"/>
        </w:rPr>
        <w:t>sprogramme</w:t>
      </w:r>
      <w:r>
        <w:rPr>
          <w:b/>
          <w:bCs/>
          <w:u w:val="single"/>
        </w:rPr>
        <w:t xml:space="preserve"> BBA2020</w:t>
      </w:r>
      <w:r w:rsidR="00F3157B">
        <w:rPr>
          <w:b/>
          <w:bCs/>
          <w:u w:val="single"/>
        </w:rPr>
        <w:t xml:space="preserve"> Access und Access-ELER (im F</w:t>
      </w:r>
      <w:r w:rsidR="00F3157B" w:rsidRPr="001B3529">
        <w:rPr>
          <w:b/>
          <w:bCs/>
          <w:u w:val="single"/>
        </w:rPr>
        <w:t>olgenden</w:t>
      </w:r>
      <w:r w:rsidRPr="001B3529">
        <w:rPr>
          <w:b/>
          <w:bCs/>
          <w:u w:val="single"/>
        </w:rPr>
        <w:t xml:space="preserve"> </w:t>
      </w:r>
      <w:r w:rsidR="004E4DBC">
        <w:rPr>
          <w:b/>
          <w:bCs/>
          <w:u w:val="single"/>
        </w:rPr>
        <w:t xml:space="preserve">gemeinsam </w:t>
      </w:r>
      <w:r>
        <w:rPr>
          <w:b/>
          <w:bCs/>
          <w:u w:val="single"/>
        </w:rPr>
        <w:t>bezeichnet mit</w:t>
      </w:r>
      <w:r w:rsidRPr="001B3529">
        <w:rPr>
          <w:b/>
          <w:bCs/>
          <w:u w:val="single"/>
        </w:rPr>
        <w:t xml:space="preserve"> </w:t>
      </w:r>
      <w:r>
        <w:rPr>
          <w:b/>
          <w:bCs/>
          <w:u w:val="single"/>
        </w:rPr>
        <w:t>„</w:t>
      </w:r>
      <w:r w:rsidRPr="001B3529">
        <w:rPr>
          <w:b/>
          <w:bCs/>
          <w:u w:val="single"/>
        </w:rPr>
        <w:t>Access</w:t>
      </w:r>
      <w:r>
        <w:rPr>
          <w:b/>
          <w:bCs/>
          <w:u w:val="single"/>
        </w:rPr>
        <w:t>“</w:t>
      </w:r>
      <w:r w:rsidR="004E4DBC">
        <w:rPr>
          <w:b/>
          <w:bCs/>
          <w:u w:val="single"/>
        </w:rPr>
        <w:t>), Backhaul und Leerrohr</w:t>
      </w:r>
    </w:p>
    <w:p w:rsidR="001B3529" w:rsidRDefault="001B3529" w:rsidP="001B3529">
      <w:r w:rsidRPr="001B3529">
        <w:t xml:space="preserve">Um den effizienten Mitteleinsatz im Bundesförderprogramm und die antrags- bzw. </w:t>
      </w:r>
      <w:proofErr w:type="spellStart"/>
      <w:r w:rsidRPr="001B3529">
        <w:t>bewilligungs</w:t>
      </w:r>
      <w:r w:rsidR="00736907">
        <w:softHyphen/>
      </w:r>
      <w:r w:rsidRPr="001B3529">
        <w:t>konforme</w:t>
      </w:r>
      <w:proofErr w:type="spellEnd"/>
      <w:r w:rsidRPr="001B3529">
        <w:t xml:space="preserve"> Durchführung nachzuweisen, sind im Rahmen der Berichtspflichten </w:t>
      </w:r>
      <w:r w:rsidR="002C157D">
        <w:t>von der Förder</w:t>
      </w:r>
      <w:r w:rsidR="007B18EF">
        <w:t>nehmerin</w:t>
      </w:r>
      <w:r w:rsidR="002C157D">
        <w:t>/</w:t>
      </w:r>
      <w:r w:rsidR="004E4DBC">
        <w:t>vom</w:t>
      </w:r>
      <w:r w:rsidR="004E4DBC" w:rsidRPr="001B3529">
        <w:t xml:space="preserve"> </w:t>
      </w:r>
      <w:r w:rsidRPr="001B3529">
        <w:t>Förder</w:t>
      </w:r>
      <w:r w:rsidR="007B18EF">
        <w:t>nehmer</w:t>
      </w:r>
      <w:r w:rsidR="002C157D">
        <w:t xml:space="preserve"> </w:t>
      </w:r>
      <w:r w:rsidRPr="001B3529">
        <w:t xml:space="preserve">folgende Punkte zu </w:t>
      </w:r>
      <w:r w:rsidR="004E4DBC">
        <w:t>berücksichtigen</w:t>
      </w:r>
      <w:r w:rsidRPr="001B3529">
        <w:t>:</w:t>
      </w:r>
    </w:p>
    <w:p w:rsidR="001B3529" w:rsidRPr="001B3529" w:rsidRDefault="008B581B" w:rsidP="001B3529">
      <w:r>
        <w:rPr>
          <w:b/>
          <w:bCs/>
          <w:u w:val="single"/>
        </w:rPr>
        <w:t xml:space="preserve">Ad) </w:t>
      </w:r>
      <w:r w:rsidR="001B3529" w:rsidRPr="001B3529">
        <w:rPr>
          <w:b/>
          <w:bCs/>
          <w:u w:val="single"/>
        </w:rPr>
        <w:t>Fotodokumentation</w:t>
      </w:r>
      <w:r w:rsidR="004E4DBC">
        <w:rPr>
          <w:b/>
          <w:bCs/>
          <w:u w:val="single"/>
        </w:rPr>
        <w:t xml:space="preserve"> der Infrastrukturen</w:t>
      </w:r>
    </w:p>
    <w:p w:rsidR="001B3529" w:rsidRPr="001B3529" w:rsidRDefault="00456325" w:rsidP="009019EB">
      <w:r>
        <w:t>Es ist eine Fotodokumentation</w:t>
      </w:r>
      <w:r w:rsidR="007B18EF">
        <w:t xml:space="preserve"> mit Orts- und Zeitangaben</w:t>
      </w:r>
      <w:r>
        <w:t xml:space="preserve"> zu erstellen</w:t>
      </w:r>
      <w:r w:rsidR="00857E58">
        <w:t>. B</w:t>
      </w:r>
      <w:r>
        <w:t xml:space="preserve">ei Access und Leerrohr </w:t>
      </w:r>
      <w:r w:rsidR="00857E58">
        <w:t xml:space="preserve">gilt dies </w:t>
      </w:r>
      <w:r>
        <w:t>pro Gemeinde</w:t>
      </w:r>
      <w:r w:rsidR="00857E58">
        <w:t>, bei Backhaul für das Projekt</w:t>
      </w:r>
      <w:r>
        <w:t xml:space="preserve">. </w:t>
      </w:r>
      <w:r w:rsidR="007B18EF">
        <w:t xml:space="preserve">Die Angabe der </w:t>
      </w:r>
      <w:r>
        <w:t xml:space="preserve">GPS-Koordinaten und das Datum </w:t>
      </w:r>
      <w:r w:rsidR="007B18EF">
        <w:t xml:space="preserve">sollten </w:t>
      </w:r>
      <w:r>
        <w:t>in den Metadaten der Fotos enthalten</w:t>
      </w:r>
      <w:r w:rsidR="007B18EF">
        <w:t xml:space="preserve"> sein</w:t>
      </w:r>
      <w:r>
        <w:t>.</w:t>
      </w:r>
      <w:r w:rsidR="001B3529" w:rsidRPr="001B3529">
        <w:t xml:space="preserve"> Die</w:t>
      </w:r>
      <w:r w:rsidR="008E6904">
        <w:t xml:space="preserve"> </w:t>
      </w:r>
      <w:r w:rsidR="00376B3B">
        <w:t>Foto</w:t>
      </w:r>
      <w:r w:rsidR="008E6904">
        <w:t>dokumentation</w:t>
      </w:r>
      <w:r w:rsidR="001B3529" w:rsidRPr="001B3529">
        <w:t xml:space="preserve"> umfasst die Verlegung und Installation aller Komponenten sowie die offenen Trassen. Dementsprechend sind für Trassen, Abzweigungen, Schächte, Rohre und Rohrverbände, Ortszentralen, Schaltzentralen, Verteiler, Sendestationen (</w:t>
      </w:r>
      <w:r w:rsidR="001B3529" w:rsidRPr="001B3529">
        <w:rPr>
          <w:i/>
          <w:iCs/>
        </w:rPr>
        <w:t>Access und Backhaul</w:t>
      </w:r>
      <w:r w:rsidR="001B3529" w:rsidRPr="001B3529">
        <w:t>), DSLAM Standorte (</w:t>
      </w:r>
      <w:r w:rsidR="001B3529" w:rsidRPr="001B3529">
        <w:rPr>
          <w:i/>
          <w:iCs/>
        </w:rPr>
        <w:t>Access</w:t>
      </w:r>
      <w:r w:rsidR="001B3529" w:rsidRPr="001B3529">
        <w:t>), PoP (</w:t>
      </w:r>
      <w:r w:rsidR="001B3529" w:rsidRPr="001B3529">
        <w:rPr>
          <w:i/>
          <w:iCs/>
        </w:rPr>
        <w:t>Backhaul</w:t>
      </w:r>
      <w:r w:rsidR="001B3529" w:rsidRPr="001B3529">
        <w:t>) und Zugangspunkte für Dritte usw. Fotos mit ausreichender Bildschärfe zu erstellen und die Lage der Infrastruktur in Bezug zu anderen Bauten zu dokumentieren. Für den Trassenverlauf umfasst die Fotodokumentation Kreuzungsbereiche (Stromleitungen, Wasserleitungen</w:t>
      </w:r>
      <w:r>
        <w:t xml:space="preserve"> etc.</w:t>
      </w:r>
      <w:r w:rsidR="001B3529" w:rsidRPr="001B3529">
        <w:t>), Querungen (Brückenaufhängungen,  Gewässerquerungen</w:t>
      </w:r>
      <w:r>
        <w:t xml:space="preserve"> etc.</w:t>
      </w:r>
      <w:r w:rsidR="001B3529" w:rsidRPr="001B3529">
        <w:t>), Nutzung von anderen Infrastrukturen (</w:t>
      </w:r>
      <w:proofErr w:type="spellStart"/>
      <w:r w:rsidR="001B3529" w:rsidRPr="001B3529">
        <w:t>Lerrrohrbestand</w:t>
      </w:r>
      <w:proofErr w:type="spellEnd"/>
      <w:r w:rsidR="001B3529" w:rsidRPr="001B3529">
        <w:t>, Masten von EVUs</w:t>
      </w:r>
      <w:r>
        <w:t xml:space="preserve"> etc.</w:t>
      </w:r>
      <w:r w:rsidR="001B3529" w:rsidRPr="001B3529">
        <w:t xml:space="preserve">) und die Änderung der </w:t>
      </w:r>
      <w:proofErr w:type="spellStart"/>
      <w:r w:rsidR="001B3529" w:rsidRPr="001B3529">
        <w:t>Verlegeverfahren</w:t>
      </w:r>
      <w:proofErr w:type="spellEnd"/>
      <w:r w:rsidR="001B3529" w:rsidRPr="001B3529">
        <w:t xml:space="preserve">. Darüber hinaus sind bei einer offenen Verlegung die Trasse sowie der Anfangs- und Endpunkt mittels Fotos zu dokumentieren. Bei der Nutzung von grabenlosen </w:t>
      </w:r>
      <w:proofErr w:type="spellStart"/>
      <w:r w:rsidR="001B3529" w:rsidRPr="001B3529">
        <w:t>Verlegeverfahren</w:t>
      </w:r>
      <w:proofErr w:type="spellEnd"/>
      <w:r w:rsidR="001B3529" w:rsidRPr="001B3529">
        <w:t xml:space="preserve"> oder bei der Verwendung bestehender Infrastrukturen</w:t>
      </w:r>
      <w:r>
        <w:t>,</w:t>
      </w:r>
      <w:r w:rsidR="001B3529" w:rsidRPr="001B3529">
        <w:t xml:space="preserve"> wie beispielsweise vorhandenen Leerrohrkapazitäten</w:t>
      </w:r>
      <w:r>
        <w:t>,</w:t>
      </w:r>
      <w:r w:rsidR="001B3529" w:rsidRPr="001B3529">
        <w:t xml:space="preserve"> sind Anfangs- und Endpunkt der jeweiligen Trasse zu dokumentieren. Der Querschnitt der verlegten oder bestehenden Kabelschutzrohre wird am Anfang der Trassen fotografiert.</w:t>
      </w:r>
    </w:p>
    <w:p w:rsidR="001B3529" w:rsidRPr="001B3529" w:rsidRDefault="001B3529" w:rsidP="001B3529">
      <w:r w:rsidRPr="001B3529">
        <w:t>Die Übermittlung eine</w:t>
      </w:r>
      <w:r w:rsidR="004E4DBC">
        <w:t>r</w:t>
      </w:r>
      <w:r w:rsidRPr="001B3529">
        <w:t xml:space="preserve"> repräsentative</w:t>
      </w:r>
      <w:r w:rsidR="004E4DBC">
        <w:t>n</w:t>
      </w:r>
      <w:r w:rsidRPr="001B3529">
        <w:t xml:space="preserve"> Anzahl (ca. 70) Fotos </w:t>
      </w:r>
      <w:r w:rsidR="005A4920">
        <w:t>erfolgt</w:t>
      </w:r>
      <w:r w:rsidR="005A4920" w:rsidRPr="001B3529">
        <w:t xml:space="preserve"> </w:t>
      </w:r>
      <w:r w:rsidRPr="001B3529">
        <w:t xml:space="preserve">grundsätzlich in einem komprimierten Format. </w:t>
      </w:r>
      <w:r w:rsidR="00376B3B">
        <w:br/>
        <w:t>D</w:t>
      </w:r>
      <w:r w:rsidR="00376B3B" w:rsidRPr="001B3529">
        <w:t xml:space="preserve">ie Bilddateien </w:t>
      </w:r>
      <w:r w:rsidR="00376B3B">
        <w:t xml:space="preserve">sind </w:t>
      </w:r>
      <w:r w:rsidRPr="001B3529">
        <w:t>in JPG- und PNG-Format</w:t>
      </w:r>
      <w:r w:rsidR="00376B3B">
        <w:t xml:space="preserve"> bereitzustellen</w:t>
      </w:r>
      <w:r w:rsidRPr="001B3529">
        <w:t>. Die wichtigsten Fotos sind direkt im Bericht bei der Beschreibung der jeweiligen Arbeitspakete in Abs. 2.2 aufzunehmen. Dabei sind in der Bildunterschrift die Zugehörigkeit zu dem jeweiligen Arbeitspaket, der Aufnahmeort (Gemeinde, Bauabschnitt, Straße)</w:t>
      </w:r>
      <w:r w:rsidR="00204666">
        <w:t xml:space="preserve">, </w:t>
      </w:r>
      <w:r w:rsidR="00376B3B">
        <w:t>der Aufnahmezeitpunkt</w:t>
      </w:r>
      <w:r w:rsidRPr="001B3529">
        <w:t xml:space="preserve"> und eine kurze Beschreibung des Bildinhaltes anzugeben.</w:t>
      </w:r>
    </w:p>
    <w:p w:rsidR="009561E8" w:rsidRPr="001B3529" w:rsidRDefault="009561E8" w:rsidP="009561E8">
      <w:r>
        <w:rPr>
          <w:b/>
          <w:bCs/>
          <w:u w:val="single"/>
        </w:rPr>
        <w:t>Ad) Planungsunterlagen</w:t>
      </w:r>
    </w:p>
    <w:p w:rsidR="009561E8" w:rsidRDefault="009561E8" w:rsidP="001B3529">
      <w:r w:rsidRPr="001B3529">
        <w:t xml:space="preserve">Die Ausführungspläne bzw. Vermessungspläne inklusive Detailangaben zur verlegten bzw. mitbenutzen Infrastruktur müssen beim Endbericht im elektronischen Format übermittelt werden. Die Übermittlung </w:t>
      </w:r>
      <w:r>
        <w:t xml:space="preserve">von </w:t>
      </w:r>
      <w:r w:rsidRPr="001B3529">
        <w:t>Ausführungspläne</w:t>
      </w:r>
      <w:r>
        <w:t>n</w:t>
      </w:r>
      <w:r w:rsidRPr="001B3529">
        <w:t xml:space="preserve"> bzw. Vermessungspläne</w:t>
      </w:r>
      <w:r>
        <w:t>n</w:t>
      </w:r>
      <w:r w:rsidRPr="001B3529">
        <w:t xml:space="preserve"> </w:t>
      </w:r>
      <w:r>
        <w:t>erfolgt</w:t>
      </w:r>
      <w:r w:rsidRPr="001B3529">
        <w:t xml:space="preserve"> im PDF-Format. </w:t>
      </w:r>
    </w:p>
    <w:p w:rsidR="00C5265E" w:rsidRDefault="00C5265E" w:rsidP="001B3529"/>
    <w:p w:rsidR="009019EB" w:rsidRDefault="009019EB" w:rsidP="009019EB">
      <w:pPr>
        <w:rPr>
          <w:b/>
          <w:bCs/>
          <w:u w:val="single"/>
        </w:rPr>
      </w:pPr>
      <w:r>
        <w:rPr>
          <w:b/>
          <w:bCs/>
          <w:u w:val="single"/>
        </w:rPr>
        <w:t xml:space="preserve">Ad) </w:t>
      </w:r>
      <w:r w:rsidRPr="001B3529">
        <w:rPr>
          <w:b/>
          <w:bCs/>
          <w:u w:val="single"/>
        </w:rPr>
        <w:t>GIS-Planungen</w:t>
      </w:r>
    </w:p>
    <w:p w:rsidR="009019EB" w:rsidRPr="001B3529" w:rsidRDefault="009019EB" w:rsidP="009019EB">
      <w:r w:rsidRPr="001B3529">
        <w:t>Die Lage der geförderten Infrastruktur (georeferenzierte Lage der Tiefbauten</w:t>
      </w:r>
      <w:r>
        <w:t xml:space="preserve"> und der Zugangspunkte (</w:t>
      </w:r>
      <w:r w:rsidRPr="001B3529">
        <w:t>z.</w:t>
      </w:r>
      <w:r>
        <w:t xml:space="preserve"> </w:t>
      </w:r>
      <w:r w:rsidRPr="001B3529">
        <w:t>B. Muffen, Schächte, PoP, Schaltstellen, Abzwei</w:t>
      </w:r>
      <w:r>
        <w:t xml:space="preserve">gpunkte für FTTH/B) ist mit der Browser- basierenden WebGIS-Anwendung </w:t>
      </w:r>
      <w:r w:rsidRPr="001B3529">
        <w:t>des bmvit zu dokumentieren (laut Sonderrichtlinie muss dies mit Betriebsfreigabe spätestens acht Wochen nach Abschluss der Arbeiten erfolgen).</w:t>
      </w:r>
    </w:p>
    <w:p w:rsidR="009019EB" w:rsidRDefault="009019EB" w:rsidP="001B3529">
      <w:pPr>
        <w:rPr>
          <w:b/>
          <w:bCs/>
          <w:u w:val="single"/>
        </w:rPr>
      </w:pPr>
    </w:p>
    <w:p w:rsidR="009561E8" w:rsidRDefault="009561E8" w:rsidP="001B3529">
      <w:pPr>
        <w:rPr>
          <w:b/>
          <w:bCs/>
          <w:u w:val="single"/>
        </w:rPr>
      </w:pPr>
      <w:r w:rsidRPr="009561E8">
        <w:rPr>
          <w:b/>
          <w:bCs/>
          <w:u w:val="single"/>
        </w:rPr>
        <w:t>Ad) Detailangaben über die beschalteten und die noch frei verfügbaren Kapazitäten</w:t>
      </w:r>
    </w:p>
    <w:p w:rsidR="009561E8" w:rsidRDefault="009561E8" w:rsidP="009561E8">
      <w:r w:rsidRPr="001B3529">
        <w:t xml:space="preserve">Bei </w:t>
      </w:r>
      <w:r w:rsidR="00A45319">
        <w:t xml:space="preserve">geförderten </w:t>
      </w:r>
      <w:r w:rsidRPr="001B3529">
        <w:t xml:space="preserve">Schaltzentralen und Verteilerschränken sind Fotos vom Inneren der Schaltstellen und eine </w:t>
      </w:r>
      <w:r w:rsidR="00A45319">
        <w:t>Detaildarstellung</w:t>
      </w:r>
      <w:r w:rsidRPr="001B3529">
        <w:t xml:space="preserve"> über die beschalteten sowie die noch frei verfügbaren Kapazitäten zur Verfügung zu stellen.</w:t>
      </w:r>
      <w:r>
        <w:t xml:space="preserve"> </w:t>
      </w:r>
      <w:r w:rsidRPr="001B3529">
        <w:t xml:space="preserve">Die </w:t>
      </w:r>
      <w:r>
        <w:t>Übermittlung der Detailangaben</w:t>
      </w:r>
      <w:r w:rsidRPr="001B3529">
        <w:t xml:space="preserve"> </w:t>
      </w:r>
      <w:r>
        <w:t>erfolgt</w:t>
      </w:r>
      <w:r w:rsidRPr="001B3529">
        <w:t xml:space="preserve"> im PDF-Format</w:t>
      </w:r>
      <w:r>
        <w:t xml:space="preserve"> oder als Excel-Liste</w:t>
      </w:r>
      <w:r w:rsidRPr="001B3529">
        <w:t>.</w:t>
      </w:r>
    </w:p>
    <w:p w:rsidR="00A45319" w:rsidRDefault="00A45319" w:rsidP="00AF45B2"/>
    <w:p w:rsidR="00AF45B2" w:rsidRPr="001B3529" w:rsidRDefault="00AF45B2" w:rsidP="00AF45B2">
      <w:r>
        <w:rPr>
          <w:b/>
          <w:bCs/>
          <w:u w:val="single"/>
        </w:rPr>
        <w:t xml:space="preserve">Ad) </w:t>
      </w:r>
      <w:r w:rsidRPr="001B3529">
        <w:rPr>
          <w:b/>
          <w:bCs/>
          <w:u w:val="single"/>
        </w:rPr>
        <w:t xml:space="preserve">Dokumentation der </w:t>
      </w:r>
      <w:r>
        <w:rPr>
          <w:b/>
          <w:bCs/>
          <w:u w:val="single"/>
        </w:rPr>
        <w:t>Qualitätsmerkmale</w:t>
      </w:r>
      <w:r w:rsidRPr="001B3529">
        <w:rPr>
          <w:b/>
          <w:bCs/>
          <w:u w:val="single"/>
        </w:rPr>
        <w:t xml:space="preserve"> des Netzes </w:t>
      </w:r>
    </w:p>
    <w:p w:rsidR="00EE1BB1" w:rsidRDefault="00EE1BB1" w:rsidP="00AF45B2">
      <w:r>
        <w:t>Im Rahmen der Endberichtslegung</w:t>
      </w:r>
      <w:r w:rsidR="00187F55">
        <w:t xml:space="preserve"> </w:t>
      </w:r>
      <w:r w:rsidR="00AF45B2" w:rsidRPr="001B3529">
        <w:t>belegt der Förder</w:t>
      </w:r>
      <w:r w:rsidR="007B18EF">
        <w:t>nehmer</w:t>
      </w:r>
      <w:r w:rsidR="00AF45B2" w:rsidRPr="001B3529">
        <w:t xml:space="preserve"> die Funktion des Netzes anhand von Messprotokollen für die geförderte Infrastruktur</w:t>
      </w:r>
      <w:r w:rsidR="0081784D">
        <w:t>:</w:t>
      </w:r>
      <w:r w:rsidR="00AF45B2" w:rsidRPr="001B3529">
        <w:t xml:space="preserve"> </w:t>
      </w:r>
    </w:p>
    <w:p w:rsidR="00302C09" w:rsidRPr="001B3529" w:rsidRDefault="00302C09" w:rsidP="00AF45B2">
      <w:r>
        <w:t xml:space="preserve">Der </w:t>
      </w:r>
      <w:r w:rsidRPr="001B3529">
        <w:t>Förder</w:t>
      </w:r>
      <w:r w:rsidR="00CF4455">
        <w:t>nehmer</w:t>
      </w:r>
      <w:r w:rsidRPr="001B3529">
        <w:t xml:space="preserve"> </w:t>
      </w:r>
      <w:r>
        <w:t xml:space="preserve">muss </w:t>
      </w:r>
      <w:r w:rsidR="00700B45">
        <w:t xml:space="preserve">eine repräsentative Anzahl von </w:t>
      </w:r>
      <w:r w:rsidRPr="001B3529">
        <w:t>Protokolle</w:t>
      </w:r>
      <w:r w:rsidR="00700B45">
        <w:t>n</w:t>
      </w:r>
      <w:r w:rsidR="00343793">
        <w:t xml:space="preserve"> für</w:t>
      </w:r>
      <w:r w:rsidR="00EE1BB1">
        <w:t>:</w:t>
      </w:r>
    </w:p>
    <w:p w:rsidR="00AF45B2" w:rsidRPr="001B3529" w:rsidRDefault="00AF45B2" w:rsidP="00AF45B2">
      <w:pPr>
        <w:ind w:left="142" w:hanging="142"/>
      </w:pPr>
      <w:r w:rsidRPr="001B3529">
        <w:t xml:space="preserve">- </w:t>
      </w:r>
      <w:r w:rsidRPr="001B3529">
        <w:rPr>
          <w:i/>
          <w:iCs/>
        </w:rPr>
        <w:t>Access und Backhaul:</w:t>
      </w:r>
      <w:r w:rsidRPr="001B3529">
        <w:t xml:space="preserve"> </w:t>
      </w:r>
      <w:r w:rsidR="00343793">
        <w:t xml:space="preserve">der </w:t>
      </w:r>
      <w:r w:rsidRPr="001B3529">
        <w:t>OTDR-Messung</w:t>
      </w:r>
      <w:r w:rsidR="00343793">
        <w:t>(en)</w:t>
      </w:r>
      <w:r w:rsidRPr="001B3529">
        <w:t xml:space="preserve"> von der Ortszentrale bis zu den Netzabschlu</w:t>
      </w:r>
      <w:r>
        <w:t xml:space="preserve">sspunkten bei der Verlegung von Glasfaserkabeln bzw. </w:t>
      </w:r>
      <w:r w:rsidRPr="001B3529">
        <w:t>VSWR-Messung (</w:t>
      </w:r>
      <w:r>
        <w:rPr>
          <w:i/>
          <w:iCs/>
        </w:rPr>
        <w:t>nur Access)</w:t>
      </w:r>
      <w:r w:rsidRPr="001B3529">
        <w:t xml:space="preserve"> bei  Koaxialkabeln </w:t>
      </w:r>
      <w:r w:rsidR="00343793">
        <w:t>des Antennensystems</w:t>
      </w:r>
    </w:p>
    <w:p w:rsidR="00AF45B2" w:rsidRDefault="00AF45B2" w:rsidP="00AF45B2">
      <w:pPr>
        <w:ind w:left="142" w:hanging="142"/>
      </w:pPr>
      <w:r w:rsidRPr="001B3529">
        <w:t xml:space="preserve">- </w:t>
      </w:r>
      <w:r w:rsidRPr="001B3529">
        <w:rPr>
          <w:i/>
          <w:iCs/>
        </w:rPr>
        <w:t>Leerrohr:</w:t>
      </w:r>
      <w:r w:rsidRPr="001B3529">
        <w:t xml:space="preserve"> </w:t>
      </w:r>
      <w:r w:rsidR="00343793">
        <w:t xml:space="preserve">der </w:t>
      </w:r>
      <w:r w:rsidRPr="001B3529">
        <w:t>OTDR-Messung</w:t>
      </w:r>
      <w:r w:rsidR="00343793">
        <w:t>(en)</w:t>
      </w:r>
      <w:r w:rsidRPr="001B3529">
        <w:t xml:space="preserve"> aller Strecken bei der Verlegung von Glasfaserkabeln</w:t>
      </w:r>
    </w:p>
    <w:p w:rsidR="00302C09" w:rsidRPr="001B3529" w:rsidRDefault="00302C09" w:rsidP="00AF45B2">
      <w:pPr>
        <w:ind w:left="142" w:hanging="142"/>
      </w:pPr>
      <w:r>
        <w:t>liefern.</w:t>
      </w:r>
    </w:p>
    <w:p w:rsidR="00AF45B2" w:rsidRPr="001B3529" w:rsidRDefault="00AF45B2" w:rsidP="00700B45">
      <w:pPr>
        <w:ind w:left="142" w:hanging="142"/>
      </w:pPr>
      <w:r w:rsidRPr="001B3529">
        <w:t>Sollte</w:t>
      </w:r>
      <w:r w:rsidR="001823F0">
        <w:t xml:space="preserve"> jedoch kein Netzabschlusspunkt </w:t>
      </w:r>
      <w:r w:rsidRPr="001B3529">
        <w:t>realisiert worden sein, so hat die Messung mehrerer Faserpaare jedenfalls bis zum letzten Verteiler zu erfolgen</w:t>
      </w:r>
      <w:r w:rsidR="00EE1BB1">
        <w:t xml:space="preserve"> (siehe auch Planungsleitfaden Breitband des bmvit)</w:t>
      </w:r>
      <w:r w:rsidRPr="001B3529">
        <w:t>.</w:t>
      </w:r>
    </w:p>
    <w:p w:rsidR="00DD66C0" w:rsidRPr="004A49BD" w:rsidRDefault="00DD66C0" w:rsidP="00AF45B2">
      <w:pPr>
        <w:rPr>
          <w:i/>
          <w:iCs/>
        </w:rPr>
      </w:pPr>
      <w:r w:rsidRPr="00700B45">
        <w:rPr>
          <w:i/>
          <w:iCs/>
        </w:rPr>
        <w:t>Nur relevant für Access:</w:t>
      </w:r>
    </w:p>
    <w:p w:rsidR="00AF45B2" w:rsidRDefault="00AF45B2" w:rsidP="00AF45B2">
      <w:r w:rsidRPr="001B3529">
        <w:t xml:space="preserve"> Bei Funksystemen ist die Versorgungsqualität grafisch (auch digital im GIS-fähigen Format) darzustellen. Der Nachweis der Versorgung hat </w:t>
      </w:r>
      <w:r>
        <w:t>zusätzlich zur grafischen Darstellung im GIS</w:t>
      </w:r>
      <w:r w:rsidR="00DD66C0">
        <w:t>-</w:t>
      </w:r>
      <w:r>
        <w:t>fähige</w:t>
      </w:r>
      <w:r w:rsidR="00DD66C0">
        <w:t>n</w:t>
      </w:r>
      <w:r>
        <w:t xml:space="preserve"> Format</w:t>
      </w:r>
      <w:r w:rsidRPr="008B581B">
        <w:t xml:space="preserve"> </w:t>
      </w:r>
      <w:r w:rsidRPr="001B3529">
        <w:t xml:space="preserve">als </w:t>
      </w:r>
      <w:r>
        <w:t xml:space="preserve">RSRP-Daten einer </w:t>
      </w:r>
      <w:r w:rsidRPr="001B3529">
        <w:t>Simulationsrechnung</w:t>
      </w:r>
      <w:r>
        <w:t xml:space="preserve"> </w:t>
      </w:r>
      <w:r w:rsidRPr="001B3529">
        <w:t xml:space="preserve">für funkbasierende Systeme zu erfolgen, die mit anerkannten </w:t>
      </w:r>
      <w:r>
        <w:t>Planungsw</w:t>
      </w:r>
      <w:r w:rsidRPr="001B3529">
        <w:t xml:space="preserve">erkzeugen </w:t>
      </w:r>
      <w:r w:rsidRPr="00491A27">
        <w:t>er</w:t>
      </w:r>
      <w:r w:rsidR="00F7374A" w:rsidRPr="00491A27">
        <w:t>stellt</w:t>
      </w:r>
      <w:r w:rsidRPr="001B3529">
        <w:t xml:space="preserve"> wurden.</w:t>
      </w:r>
      <w:r w:rsidRPr="005A4920">
        <w:t xml:space="preserve"> </w:t>
      </w:r>
      <w:r w:rsidRPr="00DF5F04">
        <w:t>Als deren Bereich werden die Wertegrenzen von</w:t>
      </w:r>
      <w:r>
        <w:t xml:space="preserve"> </w:t>
      </w:r>
      <w:r w:rsidRPr="00DF5F04">
        <w:t xml:space="preserve">-60 </w:t>
      </w:r>
      <w:proofErr w:type="spellStart"/>
      <w:r w:rsidRPr="00DF5F04">
        <w:t>dBm</w:t>
      </w:r>
      <w:proofErr w:type="spellEnd"/>
      <w:r w:rsidRPr="00DF5F04">
        <w:t xml:space="preserve"> bis -110 </w:t>
      </w:r>
      <w:proofErr w:type="spellStart"/>
      <w:r w:rsidRPr="00DF5F04">
        <w:t>dBm</w:t>
      </w:r>
      <w:proofErr w:type="spellEnd"/>
      <w:r w:rsidRPr="00DF5F04">
        <w:t xml:space="preserve"> in 5 </w:t>
      </w:r>
      <w:proofErr w:type="spellStart"/>
      <w:r w:rsidRPr="00DF5F04">
        <w:t>dBm</w:t>
      </w:r>
      <w:proofErr w:type="spellEnd"/>
      <w:r w:rsidRPr="00DF5F04">
        <w:t xml:space="preserve"> Schritten sowie die Übermittlung als GIS-Shape-Datei im Koordinatensystem ETRS89 (EPSG:3035) empfohlen.</w:t>
      </w:r>
      <w:r>
        <w:t xml:space="preserve"> </w:t>
      </w:r>
      <w:r w:rsidRPr="001B3529">
        <w:t>Als Eingangsparameter für die Simulationsrechnungen sind realistische, auf realen Messdaten beruhende Auslastungen der Funkzellen und Qualitätsparameter heranzuziehen. Ist eine Indoor-Versorgung zu erbringen, ist im Rahmen der Simulationsrechnung eine zusätzliche Dämpfung von 20 dB im Verhältnis zur Dämpfung bei der Messung im Freien (Outdoor) im stationären Betrieb 1,5 m über Grund mit handelsüblichen Endgeräten vorzusehen.</w:t>
      </w:r>
    </w:p>
    <w:p w:rsidR="00AF45B2" w:rsidRPr="001B3529" w:rsidRDefault="00AF45B2" w:rsidP="00AF45B2">
      <w:r w:rsidRPr="001B3529">
        <w:t xml:space="preserve">Bei allen Systemen sind Netztests mit eigenen oder von der RTR zur Verfügung gestellten Applikationen als Stichproben an den Grenzen des Versorgungsgebiets durchzuführen und die Resultate zu dokumentieren. Diese können mittels Fernzugriff beim Kunden oder Vorort erstellt werden. Sie haben jedenfalls den genauen </w:t>
      </w:r>
      <w:r>
        <w:t xml:space="preserve">– georeferenzierten - </w:t>
      </w:r>
      <w:r w:rsidRPr="001B3529">
        <w:t>Standort des Kunden, die Zeit, die durchschnittliche Geschwindigkeit der Datenverbindung in beide Richtungen über den Messzeitraum, die Latenz der Datenverbindung (Ping), die Übertragungsdauer, den Namen oder die IP-Adresse der Gegenstelle und bei Funksystemen die Signalstärke zu</w:t>
      </w:r>
      <w:r>
        <w:t xml:space="preserve"> enthalten. </w:t>
      </w:r>
      <w:r w:rsidRPr="001B3529">
        <w:t xml:space="preserve">Bei FTTC (DSLAM) </w:t>
      </w:r>
      <w:r w:rsidRPr="001B3529">
        <w:lastRenderedPageBreak/>
        <w:t>Netzen sind zusätzlich die Porttests am Verteiler und die adressgenaue Simulation der Datenratenverteilung nachzuweisen. </w:t>
      </w:r>
    </w:p>
    <w:p w:rsidR="00AF45B2" w:rsidRDefault="00AF45B2" w:rsidP="00AF45B2">
      <w:r w:rsidRPr="001B3529">
        <w:t xml:space="preserve">Die Übermittlung der </w:t>
      </w:r>
      <w:r>
        <w:t>Unterlagen erfolgt</w:t>
      </w:r>
      <w:r w:rsidRPr="001B3529">
        <w:t xml:space="preserve"> im PDF-</w:t>
      </w:r>
      <w:r>
        <w:t>Format.</w:t>
      </w:r>
    </w:p>
    <w:p w:rsidR="00700B45" w:rsidRDefault="00700B45" w:rsidP="00AF45B2"/>
    <w:p w:rsidR="00A000FF" w:rsidRPr="001B3529" w:rsidRDefault="00A000FF" w:rsidP="00A000FF">
      <w:r>
        <w:rPr>
          <w:b/>
          <w:bCs/>
          <w:u w:val="single"/>
        </w:rPr>
        <w:t>Ad) Kalibrierung und Druckprüfung</w:t>
      </w:r>
      <w:r w:rsidRPr="001B3529">
        <w:rPr>
          <w:b/>
          <w:bCs/>
          <w:u w:val="single"/>
        </w:rPr>
        <w:t xml:space="preserve"> </w:t>
      </w:r>
    </w:p>
    <w:p w:rsidR="00A000FF" w:rsidRPr="001B3529" w:rsidRDefault="00A000FF" w:rsidP="00A000FF">
      <w:r w:rsidRPr="001B3529">
        <w:t>Bei einer Vor-Ort Prüfung oder auf Aufforderung der Förderstelle muss der Förder</w:t>
      </w:r>
      <w:r w:rsidR="004A49BD">
        <w:t>nehmer</w:t>
      </w:r>
      <w:r w:rsidRPr="001B3529">
        <w:t xml:space="preserve"> </w:t>
      </w:r>
      <w:r>
        <w:t xml:space="preserve">bei der ausschließlichen Verlegung von Kabelschutzrohren (DN32 – DN63) und Mehrfachbelegungsrohren (nicht bei Mikrorohrverbänden) </w:t>
      </w:r>
      <w:r w:rsidRPr="001B3529">
        <w:t>Protokolle</w:t>
      </w:r>
      <w:r>
        <w:t xml:space="preserve"> </w:t>
      </w:r>
      <w:r w:rsidRPr="001B3529">
        <w:t>der Kalibrierung und Druckprüfung</w:t>
      </w:r>
      <w:r>
        <w:t xml:space="preserve"> liefern.</w:t>
      </w:r>
    </w:p>
    <w:p w:rsidR="00A000FF" w:rsidRDefault="00A000FF" w:rsidP="00A000FF">
      <w:r w:rsidRPr="001B3529">
        <w:t xml:space="preserve">Die Übermittlung der </w:t>
      </w:r>
      <w:r>
        <w:t>Unterlagen erfolgt</w:t>
      </w:r>
      <w:r w:rsidRPr="001B3529">
        <w:t xml:space="preserve"> im PDF-Format.</w:t>
      </w:r>
    </w:p>
    <w:p w:rsidR="009B3C5B" w:rsidRPr="001B3529" w:rsidRDefault="009B3C5B" w:rsidP="00A000FF"/>
    <w:p w:rsidR="001B3529" w:rsidRPr="001B3529" w:rsidRDefault="008B581B" w:rsidP="001B3529">
      <w:r>
        <w:rPr>
          <w:b/>
          <w:bCs/>
          <w:u w:val="single"/>
        </w:rPr>
        <w:t xml:space="preserve">Ad) </w:t>
      </w:r>
      <w:r w:rsidR="001823F0">
        <w:rPr>
          <w:b/>
          <w:bCs/>
          <w:u w:val="single"/>
        </w:rPr>
        <w:t>Produktz</w:t>
      </w:r>
      <w:r w:rsidR="001B3529" w:rsidRPr="001B3529">
        <w:rPr>
          <w:b/>
          <w:bCs/>
          <w:u w:val="single"/>
        </w:rPr>
        <w:t>ertifikate</w:t>
      </w:r>
      <w:r w:rsidR="001823F0">
        <w:rPr>
          <w:b/>
          <w:bCs/>
          <w:u w:val="single"/>
        </w:rPr>
        <w:t>, Datenblätter</w:t>
      </w:r>
      <w:r w:rsidR="001B3529" w:rsidRPr="001B3529">
        <w:rPr>
          <w:b/>
          <w:bCs/>
          <w:u w:val="single"/>
        </w:rPr>
        <w:t xml:space="preserve"> und Bewilligungen</w:t>
      </w:r>
    </w:p>
    <w:p w:rsidR="001B3529" w:rsidRDefault="001B3529" w:rsidP="001B3529">
      <w:r w:rsidRPr="001B3529">
        <w:t>Bei einer Vor-Ort Prüfung oder auf Aufforderung der Förderstelle muss der Förder</w:t>
      </w:r>
      <w:r w:rsidR="00A000FF">
        <w:t>nehmer</w:t>
      </w:r>
      <w:r w:rsidRPr="001B3529">
        <w:t xml:space="preserve"> auch folgende Dokumente vorlegen:</w:t>
      </w:r>
    </w:p>
    <w:p w:rsidR="00F56331" w:rsidRPr="001B3529" w:rsidRDefault="00F56331" w:rsidP="00F56331">
      <w:r>
        <w:t>- Datenblätter bei Verlegung von Glasfaserkabel</w:t>
      </w:r>
    </w:p>
    <w:p w:rsidR="001B3529" w:rsidRPr="001B3529" w:rsidRDefault="00F56331" w:rsidP="001B3529">
      <w:r>
        <w:t xml:space="preserve">- </w:t>
      </w:r>
      <w:r w:rsidR="001B3529" w:rsidRPr="001B3529">
        <w:t>Produktzertifikate der geplanten Einbauten (Kabelrohre, Kabelschutzrohre, Mikrorohre, LWL-Kabel etc.): Von den Lieferanten ist die Einhaltung der im Planungsleitfaden</w:t>
      </w:r>
      <w:r w:rsidR="00F7720A">
        <w:t xml:space="preserve"> Breitband</w:t>
      </w:r>
      <w:r w:rsidR="001B3529" w:rsidRPr="001B3529">
        <w:t xml:space="preserve"> des bmvit angeführten Normen durch Zertifikate von unabhängigen Prüfinstituten belegen zu lassen</w:t>
      </w:r>
    </w:p>
    <w:p w:rsidR="001B3529" w:rsidRPr="001B3529" w:rsidRDefault="00F56331" w:rsidP="001B3529">
      <w:r>
        <w:t>- Bewilligung der Gemeinde oder anderer Straßenerha</w:t>
      </w:r>
      <w:r w:rsidR="00F7720A">
        <w:t xml:space="preserve">lter </w:t>
      </w:r>
      <w:r w:rsidR="001B3529" w:rsidRPr="001B3529">
        <w:t xml:space="preserve">gem. § 90 </w:t>
      </w:r>
      <w:proofErr w:type="spellStart"/>
      <w:r w:rsidR="001B3529" w:rsidRPr="001B3529">
        <w:t>StVo</w:t>
      </w:r>
      <w:proofErr w:type="spellEnd"/>
      <w:r w:rsidR="00F7720A">
        <w:t xml:space="preserve"> bei Nutzung von öffentlichen Verkehrsflächen</w:t>
      </w:r>
    </w:p>
    <w:p w:rsidR="004E4DBC" w:rsidRDefault="004E4DBC" w:rsidP="004E4DBC">
      <w:r w:rsidRPr="001B3529">
        <w:t xml:space="preserve">Die Übermittlung der </w:t>
      </w:r>
      <w:r>
        <w:t>Unterlagen erfolgt</w:t>
      </w:r>
      <w:r w:rsidRPr="001B3529">
        <w:t xml:space="preserve"> im PDF-Format.</w:t>
      </w:r>
    </w:p>
    <w:p w:rsidR="00FF2AA4" w:rsidRPr="001B3529" w:rsidRDefault="00FF2AA4" w:rsidP="004E4DBC"/>
    <w:p w:rsidR="001B3529" w:rsidRPr="001B3529" w:rsidRDefault="001B3529" w:rsidP="001B3529">
      <w:r w:rsidRPr="001B3529">
        <w:rPr>
          <w:b/>
          <w:bCs/>
          <w:u w:val="single"/>
        </w:rPr>
        <w:t>Einreichen der Dokumentation</w:t>
      </w:r>
    </w:p>
    <w:p w:rsidR="00D548D7" w:rsidRDefault="00D548D7" w:rsidP="001B3529">
      <w:r>
        <w:t>Als „Dokumentationsverzeichnis“ der eingereichten Unterlagen ist</w:t>
      </w:r>
      <w:r w:rsidR="00302C09">
        <w:t xml:space="preserve"> die</w:t>
      </w:r>
      <w:r w:rsidR="00B1460B">
        <w:t xml:space="preserve"> E</w:t>
      </w:r>
      <w:r>
        <w:t>xcel-basierte Tabelle</w:t>
      </w:r>
      <w:r w:rsidR="00302C09">
        <w:t xml:space="preserve"> aus dem Downloadcenter</w:t>
      </w:r>
      <w:r>
        <w:t xml:space="preserve"> hinzuzufügen, welche d</w:t>
      </w:r>
      <w:r w:rsidR="00CF1D1D">
        <w:t>ie</w:t>
      </w:r>
      <w:r>
        <w:t xml:space="preserve"> </w:t>
      </w:r>
      <w:r w:rsidR="00CF1D1D">
        <w:t xml:space="preserve">jeweiligen </w:t>
      </w:r>
      <w:r>
        <w:t xml:space="preserve">Dateinamen </w:t>
      </w:r>
      <w:r w:rsidR="00CF1D1D">
        <w:t>in der dafür festgelegten Weise beschreibt</w:t>
      </w:r>
      <w:r>
        <w:t>.</w:t>
      </w:r>
      <w:r w:rsidR="00CF1D1D">
        <w:t xml:space="preserve"> Diese </w:t>
      </w:r>
      <w:r w:rsidR="00CF1D1D" w:rsidRPr="001B3529">
        <w:t xml:space="preserve">beginnen mit der </w:t>
      </w:r>
      <w:r w:rsidR="00CF1D1D">
        <w:t>„</w:t>
      </w:r>
      <w:proofErr w:type="spellStart"/>
      <w:r w:rsidR="00CF1D1D" w:rsidRPr="001B3529">
        <w:t>Antrags_ID</w:t>
      </w:r>
      <w:proofErr w:type="spellEnd"/>
      <w:r w:rsidR="00CF1D1D">
        <w:t>“</w:t>
      </w:r>
      <w:r w:rsidR="00CF1D1D" w:rsidRPr="001B3529">
        <w:t xml:space="preserve"> gefolgt von einer Abkürzung für die </w:t>
      </w:r>
      <w:r w:rsidR="00CF1D1D">
        <w:t>„</w:t>
      </w:r>
      <w:r w:rsidR="00CF1D1D" w:rsidRPr="001B3529">
        <w:t>Ausschreibung</w:t>
      </w:r>
      <w:r w:rsidR="00CF1D1D">
        <w:t>“</w:t>
      </w:r>
      <w:r w:rsidR="00CF1D1D" w:rsidRPr="001B3529">
        <w:t xml:space="preserve">, </w:t>
      </w:r>
      <w:r w:rsidR="00CF1D1D">
        <w:t>„</w:t>
      </w:r>
      <w:r w:rsidR="00CF1D1D" w:rsidRPr="001B3529">
        <w:t xml:space="preserve">der </w:t>
      </w:r>
      <w:proofErr w:type="spellStart"/>
      <w:r w:rsidR="00CF1D1D" w:rsidRPr="001B3529">
        <w:t>Dokumentationszuordnungs_ID</w:t>
      </w:r>
      <w:proofErr w:type="spellEnd"/>
      <w:r w:rsidR="00CF1D1D">
        <w:t>“</w:t>
      </w:r>
      <w:r w:rsidR="00CF1D1D" w:rsidRPr="001B3529">
        <w:t xml:space="preserve"> und einer eindeutigen </w:t>
      </w:r>
      <w:r w:rsidR="00CF1D1D">
        <w:t>„</w:t>
      </w:r>
      <w:proofErr w:type="spellStart"/>
      <w:r w:rsidR="00CF1D1D" w:rsidRPr="001B3529">
        <w:t>Zuordnungs_ID</w:t>
      </w:r>
      <w:proofErr w:type="spellEnd"/>
      <w:r w:rsidR="00CF1D1D">
        <w:t>“. Die vollständige Sammlung an Unterlagen ist in Form von einer bzw. mehreren gepackten Dateien</w:t>
      </w:r>
      <w:r w:rsidR="006344BF">
        <w:t xml:space="preserve"> (</w:t>
      </w:r>
      <w:proofErr w:type="spellStart"/>
      <w:r w:rsidR="006344BF">
        <w:t>zip</w:t>
      </w:r>
      <w:proofErr w:type="spellEnd"/>
      <w:r w:rsidR="006344BF">
        <w:t>-</w:t>
      </w:r>
      <w:bookmarkStart w:id="0" w:name="_GoBack"/>
      <w:bookmarkEnd w:id="0"/>
      <w:r w:rsidR="006344BF">
        <w:t>Pakete)</w:t>
      </w:r>
      <w:r w:rsidR="00CF1D1D">
        <w:t xml:space="preserve"> im eCall-System einzureichen, wobei auf die maximale Größe von 20</w:t>
      </w:r>
      <w:r w:rsidR="00302C09">
        <w:t xml:space="preserve"> Mbyte pro Datei zu achten ist.</w:t>
      </w:r>
    </w:p>
    <w:p w:rsidR="00C5265E" w:rsidRPr="001B3529" w:rsidRDefault="00C5265E" w:rsidP="001B3529"/>
    <w:p w:rsidR="001B3529" w:rsidRPr="001B3529" w:rsidRDefault="001B3529" w:rsidP="001B3529">
      <w:r w:rsidRPr="001B3529">
        <w:rPr>
          <w:b/>
          <w:bCs/>
          <w:u w:val="single"/>
        </w:rPr>
        <w:t xml:space="preserve">Überprüfung der </w:t>
      </w:r>
      <w:r w:rsidR="00DF5F04">
        <w:rPr>
          <w:b/>
          <w:bCs/>
          <w:u w:val="single"/>
        </w:rPr>
        <w:t>Versorgungsqualität</w:t>
      </w:r>
      <w:r w:rsidRPr="001B3529">
        <w:t> </w:t>
      </w:r>
    </w:p>
    <w:p w:rsidR="001B3529" w:rsidRPr="001B3529" w:rsidRDefault="001B3529" w:rsidP="001B3529">
      <w:r w:rsidRPr="001B3529">
        <w:t xml:space="preserve">Um die Erreichung der Förderziele gemäß Richtlinie zu kontrollieren, wird die FFG oder ein durch sie beauftragtes Unternehmen Stichprobenmessungen an den Verteileinrichtungen oder beim Endkunden durchführen. Der Förderwerber hat auf Verlangen Zugang zu sämtlichen messrelevanten </w:t>
      </w:r>
      <w:r w:rsidRPr="001B3529">
        <w:lastRenderedPageBreak/>
        <w:t>Anlagen zu gewähren. Je nach eingesetzter Übertragungstechnologie werden unterschiedliche Messmethoden für die Ermittlung der physikalischen Eigenschaften des Übertragungsmediums eingesetzt. Darüber hinaus werden beispielsweise die vorhandene Bandbreite und der Durchsatz von TCP-Verbindungen im Rahmen der Messungen getestet. Die Messungen erfolgen in einer empirisch hergeleiteten Anzahl zu verschiedenen Tageszeiten.</w:t>
      </w:r>
    </w:p>
    <w:p w:rsidR="001B3529" w:rsidRDefault="001B3529" w:rsidP="005F6C7F"/>
    <w:sectPr w:rsidR="001B352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2C" w:rsidRDefault="007C5C2C" w:rsidP="00DF7B67">
      <w:pPr>
        <w:spacing w:after="0" w:line="240" w:lineRule="auto"/>
      </w:pPr>
      <w:r>
        <w:separator/>
      </w:r>
    </w:p>
  </w:endnote>
  <w:endnote w:type="continuationSeparator" w:id="0">
    <w:p w:rsidR="007C5C2C" w:rsidRDefault="007C5C2C" w:rsidP="00DF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024785"/>
      <w:docPartObj>
        <w:docPartGallery w:val="Page Numbers (Bottom of Page)"/>
        <w:docPartUnique/>
      </w:docPartObj>
    </w:sdtPr>
    <w:sdtEndPr/>
    <w:sdtContent>
      <w:p w:rsidR="00632FE3" w:rsidRDefault="00632FE3">
        <w:pPr>
          <w:pStyle w:val="Fuzeile"/>
          <w:jc w:val="right"/>
        </w:pPr>
        <w:r>
          <w:t xml:space="preserve">Seite </w:t>
        </w:r>
        <w:r>
          <w:fldChar w:fldCharType="begin"/>
        </w:r>
        <w:r>
          <w:instrText>PAGE   \* MERGEFORMAT</w:instrText>
        </w:r>
        <w:r>
          <w:fldChar w:fldCharType="separate"/>
        </w:r>
        <w:r w:rsidR="00C5265E" w:rsidRPr="00C5265E">
          <w:rPr>
            <w:noProof/>
            <w:lang w:val="de-DE"/>
          </w:rPr>
          <w:t>4</w:t>
        </w:r>
        <w:r>
          <w:fldChar w:fldCharType="end"/>
        </w:r>
      </w:p>
    </w:sdtContent>
  </w:sdt>
  <w:p w:rsidR="00632FE3" w:rsidRDefault="00632F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2C" w:rsidRDefault="007C5C2C" w:rsidP="00DF7B67">
      <w:pPr>
        <w:spacing w:after="0" w:line="240" w:lineRule="auto"/>
      </w:pPr>
      <w:r>
        <w:separator/>
      </w:r>
    </w:p>
  </w:footnote>
  <w:footnote w:type="continuationSeparator" w:id="0">
    <w:p w:rsidR="007C5C2C" w:rsidRDefault="007C5C2C" w:rsidP="00DF7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58F2"/>
    <w:multiLevelType w:val="hybridMultilevel"/>
    <w:tmpl w:val="09288B30"/>
    <w:lvl w:ilvl="0" w:tplc="CB9A66E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A6F77D8"/>
    <w:multiLevelType w:val="hybridMultilevel"/>
    <w:tmpl w:val="C2DAD3B2"/>
    <w:lvl w:ilvl="0" w:tplc="0C070017">
      <w:start w:val="1"/>
      <w:numFmt w:val="lowerLetter"/>
      <w:lvlText w:val="%1)"/>
      <w:lvlJc w:val="left"/>
      <w:pPr>
        <w:ind w:left="983" w:hanging="360"/>
      </w:pPr>
      <w:rPr>
        <w:rFonts w:hint="default"/>
      </w:rPr>
    </w:lvl>
    <w:lvl w:ilvl="1" w:tplc="0C070003">
      <w:start w:val="1"/>
      <w:numFmt w:val="bullet"/>
      <w:lvlText w:val="o"/>
      <w:lvlJc w:val="left"/>
      <w:pPr>
        <w:ind w:left="1703" w:hanging="360"/>
      </w:pPr>
      <w:rPr>
        <w:rFonts w:ascii="Courier New" w:hAnsi="Courier New" w:cs="Courier New" w:hint="default"/>
      </w:rPr>
    </w:lvl>
    <w:lvl w:ilvl="2" w:tplc="0C070005">
      <w:start w:val="1"/>
      <w:numFmt w:val="bullet"/>
      <w:lvlText w:val=""/>
      <w:lvlJc w:val="left"/>
      <w:pPr>
        <w:ind w:left="2423" w:hanging="360"/>
      </w:pPr>
      <w:rPr>
        <w:rFonts w:ascii="Wingdings" w:hAnsi="Wingdings" w:hint="default"/>
      </w:rPr>
    </w:lvl>
    <w:lvl w:ilvl="3" w:tplc="0C070001">
      <w:start w:val="1"/>
      <w:numFmt w:val="bullet"/>
      <w:lvlText w:val=""/>
      <w:lvlJc w:val="left"/>
      <w:pPr>
        <w:ind w:left="3143" w:hanging="360"/>
      </w:pPr>
      <w:rPr>
        <w:rFonts w:ascii="Symbol" w:hAnsi="Symbol" w:hint="default"/>
      </w:rPr>
    </w:lvl>
    <w:lvl w:ilvl="4" w:tplc="0C070003">
      <w:start w:val="1"/>
      <w:numFmt w:val="bullet"/>
      <w:lvlText w:val="o"/>
      <w:lvlJc w:val="left"/>
      <w:pPr>
        <w:ind w:left="3863" w:hanging="360"/>
      </w:pPr>
      <w:rPr>
        <w:rFonts w:ascii="Courier New" w:hAnsi="Courier New" w:cs="Courier New" w:hint="default"/>
      </w:rPr>
    </w:lvl>
    <w:lvl w:ilvl="5" w:tplc="0C070005">
      <w:start w:val="1"/>
      <w:numFmt w:val="bullet"/>
      <w:lvlText w:val=""/>
      <w:lvlJc w:val="left"/>
      <w:pPr>
        <w:ind w:left="4583" w:hanging="360"/>
      </w:pPr>
      <w:rPr>
        <w:rFonts w:ascii="Wingdings" w:hAnsi="Wingdings" w:hint="default"/>
      </w:rPr>
    </w:lvl>
    <w:lvl w:ilvl="6" w:tplc="0C070001">
      <w:start w:val="1"/>
      <w:numFmt w:val="bullet"/>
      <w:lvlText w:val=""/>
      <w:lvlJc w:val="left"/>
      <w:pPr>
        <w:ind w:left="5303" w:hanging="360"/>
      </w:pPr>
      <w:rPr>
        <w:rFonts w:ascii="Symbol" w:hAnsi="Symbol" w:hint="default"/>
      </w:rPr>
    </w:lvl>
    <w:lvl w:ilvl="7" w:tplc="0C070003">
      <w:start w:val="1"/>
      <w:numFmt w:val="bullet"/>
      <w:lvlText w:val="o"/>
      <w:lvlJc w:val="left"/>
      <w:pPr>
        <w:ind w:left="6023" w:hanging="360"/>
      </w:pPr>
      <w:rPr>
        <w:rFonts w:ascii="Courier New" w:hAnsi="Courier New" w:cs="Courier New" w:hint="default"/>
      </w:rPr>
    </w:lvl>
    <w:lvl w:ilvl="8" w:tplc="0C070005">
      <w:start w:val="1"/>
      <w:numFmt w:val="bullet"/>
      <w:lvlText w:val=""/>
      <w:lvlJc w:val="left"/>
      <w:pPr>
        <w:ind w:left="67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67"/>
    <w:rsid w:val="00093CA0"/>
    <w:rsid w:val="0009638A"/>
    <w:rsid w:val="000E3381"/>
    <w:rsid w:val="00114F17"/>
    <w:rsid w:val="00157089"/>
    <w:rsid w:val="001823F0"/>
    <w:rsid w:val="00187F55"/>
    <w:rsid w:val="001B3529"/>
    <w:rsid w:val="001D0999"/>
    <w:rsid w:val="00204666"/>
    <w:rsid w:val="00230369"/>
    <w:rsid w:val="002C0AB0"/>
    <w:rsid w:val="002C157D"/>
    <w:rsid w:val="002C2DA1"/>
    <w:rsid w:val="002C3060"/>
    <w:rsid w:val="002C7E4D"/>
    <w:rsid w:val="002D73A2"/>
    <w:rsid w:val="002E7A73"/>
    <w:rsid w:val="002F29DE"/>
    <w:rsid w:val="00302C09"/>
    <w:rsid w:val="00331D9F"/>
    <w:rsid w:val="00343793"/>
    <w:rsid w:val="00376B3B"/>
    <w:rsid w:val="003A0359"/>
    <w:rsid w:val="003B0CEC"/>
    <w:rsid w:val="003C25B0"/>
    <w:rsid w:val="00456325"/>
    <w:rsid w:val="00491A27"/>
    <w:rsid w:val="004A49BD"/>
    <w:rsid w:val="004E4DBC"/>
    <w:rsid w:val="00541396"/>
    <w:rsid w:val="005A4920"/>
    <w:rsid w:val="005F6C7F"/>
    <w:rsid w:val="005F7459"/>
    <w:rsid w:val="00632FE3"/>
    <w:rsid w:val="006344BF"/>
    <w:rsid w:val="00655139"/>
    <w:rsid w:val="00696D7F"/>
    <w:rsid w:val="006B637B"/>
    <w:rsid w:val="006C1C6F"/>
    <w:rsid w:val="00700B45"/>
    <w:rsid w:val="007050A5"/>
    <w:rsid w:val="00706F75"/>
    <w:rsid w:val="00736907"/>
    <w:rsid w:val="007B18EF"/>
    <w:rsid w:val="007C5C2C"/>
    <w:rsid w:val="007E2832"/>
    <w:rsid w:val="007E73AB"/>
    <w:rsid w:val="007F0F7C"/>
    <w:rsid w:val="0081784D"/>
    <w:rsid w:val="00844B17"/>
    <w:rsid w:val="00857E58"/>
    <w:rsid w:val="00896C3A"/>
    <w:rsid w:val="008B581B"/>
    <w:rsid w:val="008C14B3"/>
    <w:rsid w:val="008E6904"/>
    <w:rsid w:val="009019EB"/>
    <w:rsid w:val="009022D8"/>
    <w:rsid w:val="0090398E"/>
    <w:rsid w:val="009128FB"/>
    <w:rsid w:val="009268AE"/>
    <w:rsid w:val="00953ACD"/>
    <w:rsid w:val="009561E8"/>
    <w:rsid w:val="009B3C5B"/>
    <w:rsid w:val="009F25F7"/>
    <w:rsid w:val="00A000FF"/>
    <w:rsid w:val="00A45319"/>
    <w:rsid w:val="00A4710D"/>
    <w:rsid w:val="00A919AA"/>
    <w:rsid w:val="00AB6986"/>
    <w:rsid w:val="00AC08F1"/>
    <w:rsid w:val="00AF1AF7"/>
    <w:rsid w:val="00AF45B2"/>
    <w:rsid w:val="00B1460B"/>
    <w:rsid w:val="00B565B7"/>
    <w:rsid w:val="00B72C76"/>
    <w:rsid w:val="00C26CB8"/>
    <w:rsid w:val="00C32825"/>
    <w:rsid w:val="00C5265E"/>
    <w:rsid w:val="00CF1D1D"/>
    <w:rsid w:val="00CF4455"/>
    <w:rsid w:val="00D504B0"/>
    <w:rsid w:val="00D548D7"/>
    <w:rsid w:val="00DD12BE"/>
    <w:rsid w:val="00DD66C0"/>
    <w:rsid w:val="00DF2160"/>
    <w:rsid w:val="00DF5F04"/>
    <w:rsid w:val="00DF7B67"/>
    <w:rsid w:val="00E072A0"/>
    <w:rsid w:val="00E34011"/>
    <w:rsid w:val="00E674FD"/>
    <w:rsid w:val="00E710EF"/>
    <w:rsid w:val="00E92D95"/>
    <w:rsid w:val="00EE1BB1"/>
    <w:rsid w:val="00F3157B"/>
    <w:rsid w:val="00F56331"/>
    <w:rsid w:val="00F7374A"/>
    <w:rsid w:val="00F7720A"/>
    <w:rsid w:val="00FD1D7C"/>
    <w:rsid w:val="00FF2A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F7B6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F7B67"/>
    <w:rPr>
      <w:sz w:val="20"/>
      <w:szCs w:val="20"/>
    </w:rPr>
  </w:style>
  <w:style w:type="character" w:styleId="Funotenzeichen">
    <w:name w:val="footnote reference"/>
    <w:basedOn w:val="Absatz-Standardschriftart"/>
    <w:uiPriority w:val="99"/>
    <w:semiHidden/>
    <w:unhideWhenUsed/>
    <w:rsid w:val="00DF7B67"/>
    <w:rPr>
      <w:vertAlign w:val="superscript"/>
    </w:rPr>
  </w:style>
  <w:style w:type="character" w:styleId="Hyperlink">
    <w:name w:val="Hyperlink"/>
    <w:basedOn w:val="Absatz-Standardschriftart"/>
    <w:uiPriority w:val="99"/>
    <w:unhideWhenUsed/>
    <w:rsid w:val="00DF7B67"/>
    <w:rPr>
      <w:color w:val="0000FF" w:themeColor="hyperlink"/>
      <w:u w:val="single"/>
    </w:rPr>
  </w:style>
  <w:style w:type="character" w:styleId="Kommentarzeichen">
    <w:name w:val="annotation reference"/>
    <w:basedOn w:val="Absatz-Standardschriftart"/>
    <w:uiPriority w:val="99"/>
    <w:semiHidden/>
    <w:unhideWhenUsed/>
    <w:rsid w:val="00E92D95"/>
    <w:rPr>
      <w:sz w:val="16"/>
      <w:szCs w:val="16"/>
    </w:rPr>
  </w:style>
  <w:style w:type="paragraph" w:styleId="Kommentartext">
    <w:name w:val="annotation text"/>
    <w:basedOn w:val="Standard"/>
    <w:link w:val="KommentartextZchn"/>
    <w:uiPriority w:val="99"/>
    <w:semiHidden/>
    <w:unhideWhenUsed/>
    <w:rsid w:val="00E92D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95"/>
    <w:rPr>
      <w:sz w:val="20"/>
      <w:szCs w:val="20"/>
    </w:rPr>
  </w:style>
  <w:style w:type="paragraph" w:styleId="Kommentarthema">
    <w:name w:val="annotation subject"/>
    <w:basedOn w:val="Kommentartext"/>
    <w:next w:val="Kommentartext"/>
    <w:link w:val="KommentarthemaZchn"/>
    <w:uiPriority w:val="99"/>
    <w:semiHidden/>
    <w:unhideWhenUsed/>
    <w:rsid w:val="00E92D95"/>
    <w:rPr>
      <w:b/>
      <w:bCs/>
    </w:rPr>
  </w:style>
  <w:style w:type="character" w:customStyle="1" w:styleId="KommentarthemaZchn">
    <w:name w:val="Kommentarthema Zchn"/>
    <w:basedOn w:val="KommentartextZchn"/>
    <w:link w:val="Kommentarthema"/>
    <w:uiPriority w:val="99"/>
    <w:semiHidden/>
    <w:rsid w:val="00E92D95"/>
    <w:rPr>
      <w:b/>
      <w:bCs/>
      <w:sz w:val="20"/>
      <w:szCs w:val="20"/>
    </w:rPr>
  </w:style>
  <w:style w:type="paragraph" w:styleId="Sprechblasentext">
    <w:name w:val="Balloon Text"/>
    <w:basedOn w:val="Standard"/>
    <w:link w:val="SprechblasentextZchn"/>
    <w:uiPriority w:val="99"/>
    <w:semiHidden/>
    <w:unhideWhenUsed/>
    <w:rsid w:val="00E92D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D95"/>
    <w:rPr>
      <w:rFonts w:ascii="Tahoma" w:hAnsi="Tahoma" w:cs="Tahoma"/>
      <w:sz w:val="16"/>
      <w:szCs w:val="16"/>
    </w:rPr>
  </w:style>
  <w:style w:type="paragraph" w:styleId="berarbeitung">
    <w:name w:val="Revision"/>
    <w:hidden/>
    <w:uiPriority w:val="99"/>
    <w:semiHidden/>
    <w:rsid w:val="00093CA0"/>
    <w:pPr>
      <w:spacing w:after="0" w:line="240" w:lineRule="auto"/>
    </w:pPr>
  </w:style>
  <w:style w:type="paragraph" w:styleId="Kopfzeile">
    <w:name w:val="header"/>
    <w:basedOn w:val="Standard"/>
    <w:link w:val="KopfzeileZchn"/>
    <w:uiPriority w:val="99"/>
    <w:unhideWhenUsed/>
    <w:rsid w:val="00632F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FE3"/>
  </w:style>
  <w:style w:type="paragraph" w:styleId="Fuzeile">
    <w:name w:val="footer"/>
    <w:basedOn w:val="Standard"/>
    <w:link w:val="FuzeileZchn"/>
    <w:uiPriority w:val="99"/>
    <w:unhideWhenUsed/>
    <w:rsid w:val="00632F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FE3"/>
  </w:style>
  <w:style w:type="paragraph" w:styleId="Listenabsatz">
    <w:name w:val="List Paragraph"/>
    <w:basedOn w:val="Standard"/>
    <w:uiPriority w:val="34"/>
    <w:qFormat/>
    <w:rsid w:val="00F563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F7B6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F7B67"/>
    <w:rPr>
      <w:sz w:val="20"/>
      <w:szCs w:val="20"/>
    </w:rPr>
  </w:style>
  <w:style w:type="character" w:styleId="Funotenzeichen">
    <w:name w:val="footnote reference"/>
    <w:basedOn w:val="Absatz-Standardschriftart"/>
    <w:uiPriority w:val="99"/>
    <w:semiHidden/>
    <w:unhideWhenUsed/>
    <w:rsid w:val="00DF7B67"/>
    <w:rPr>
      <w:vertAlign w:val="superscript"/>
    </w:rPr>
  </w:style>
  <w:style w:type="character" w:styleId="Hyperlink">
    <w:name w:val="Hyperlink"/>
    <w:basedOn w:val="Absatz-Standardschriftart"/>
    <w:uiPriority w:val="99"/>
    <w:unhideWhenUsed/>
    <w:rsid w:val="00DF7B67"/>
    <w:rPr>
      <w:color w:val="0000FF" w:themeColor="hyperlink"/>
      <w:u w:val="single"/>
    </w:rPr>
  </w:style>
  <w:style w:type="character" w:styleId="Kommentarzeichen">
    <w:name w:val="annotation reference"/>
    <w:basedOn w:val="Absatz-Standardschriftart"/>
    <w:uiPriority w:val="99"/>
    <w:semiHidden/>
    <w:unhideWhenUsed/>
    <w:rsid w:val="00E92D95"/>
    <w:rPr>
      <w:sz w:val="16"/>
      <w:szCs w:val="16"/>
    </w:rPr>
  </w:style>
  <w:style w:type="paragraph" w:styleId="Kommentartext">
    <w:name w:val="annotation text"/>
    <w:basedOn w:val="Standard"/>
    <w:link w:val="KommentartextZchn"/>
    <w:uiPriority w:val="99"/>
    <w:semiHidden/>
    <w:unhideWhenUsed/>
    <w:rsid w:val="00E92D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95"/>
    <w:rPr>
      <w:sz w:val="20"/>
      <w:szCs w:val="20"/>
    </w:rPr>
  </w:style>
  <w:style w:type="paragraph" w:styleId="Kommentarthema">
    <w:name w:val="annotation subject"/>
    <w:basedOn w:val="Kommentartext"/>
    <w:next w:val="Kommentartext"/>
    <w:link w:val="KommentarthemaZchn"/>
    <w:uiPriority w:val="99"/>
    <w:semiHidden/>
    <w:unhideWhenUsed/>
    <w:rsid w:val="00E92D95"/>
    <w:rPr>
      <w:b/>
      <w:bCs/>
    </w:rPr>
  </w:style>
  <w:style w:type="character" w:customStyle="1" w:styleId="KommentarthemaZchn">
    <w:name w:val="Kommentarthema Zchn"/>
    <w:basedOn w:val="KommentartextZchn"/>
    <w:link w:val="Kommentarthema"/>
    <w:uiPriority w:val="99"/>
    <w:semiHidden/>
    <w:rsid w:val="00E92D95"/>
    <w:rPr>
      <w:b/>
      <w:bCs/>
      <w:sz w:val="20"/>
      <w:szCs w:val="20"/>
    </w:rPr>
  </w:style>
  <w:style w:type="paragraph" w:styleId="Sprechblasentext">
    <w:name w:val="Balloon Text"/>
    <w:basedOn w:val="Standard"/>
    <w:link w:val="SprechblasentextZchn"/>
    <w:uiPriority w:val="99"/>
    <w:semiHidden/>
    <w:unhideWhenUsed/>
    <w:rsid w:val="00E92D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D95"/>
    <w:rPr>
      <w:rFonts w:ascii="Tahoma" w:hAnsi="Tahoma" w:cs="Tahoma"/>
      <w:sz w:val="16"/>
      <w:szCs w:val="16"/>
    </w:rPr>
  </w:style>
  <w:style w:type="paragraph" w:styleId="berarbeitung">
    <w:name w:val="Revision"/>
    <w:hidden/>
    <w:uiPriority w:val="99"/>
    <w:semiHidden/>
    <w:rsid w:val="00093CA0"/>
    <w:pPr>
      <w:spacing w:after="0" w:line="240" w:lineRule="auto"/>
    </w:pPr>
  </w:style>
  <w:style w:type="paragraph" w:styleId="Kopfzeile">
    <w:name w:val="header"/>
    <w:basedOn w:val="Standard"/>
    <w:link w:val="KopfzeileZchn"/>
    <w:uiPriority w:val="99"/>
    <w:unhideWhenUsed/>
    <w:rsid w:val="00632F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FE3"/>
  </w:style>
  <w:style w:type="paragraph" w:styleId="Fuzeile">
    <w:name w:val="footer"/>
    <w:basedOn w:val="Standard"/>
    <w:link w:val="FuzeileZchn"/>
    <w:uiPriority w:val="99"/>
    <w:unhideWhenUsed/>
    <w:rsid w:val="00632F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FE3"/>
  </w:style>
  <w:style w:type="paragraph" w:styleId="Listenabsatz">
    <w:name w:val="List Paragraph"/>
    <w:basedOn w:val="Standard"/>
    <w:uiPriority w:val="34"/>
    <w:qFormat/>
    <w:rsid w:val="00F56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9061">
      <w:bodyDiv w:val="1"/>
      <w:marLeft w:val="0"/>
      <w:marRight w:val="0"/>
      <w:marTop w:val="0"/>
      <w:marBottom w:val="0"/>
      <w:divBdr>
        <w:top w:val="none" w:sz="0" w:space="0" w:color="auto"/>
        <w:left w:val="none" w:sz="0" w:space="0" w:color="auto"/>
        <w:bottom w:val="none" w:sz="0" w:space="0" w:color="auto"/>
        <w:right w:val="none" w:sz="0" w:space="0" w:color="auto"/>
      </w:divBdr>
    </w:div>
    <w:div w:id="3417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111D-FC78-4C91-A852-ACFCA8B7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6ACA99F.dotm</Template>
  <TotalTime>0</TotalTime>
  <Pages>4</Pages>
  <Words>1152</Words>
  <Characters>7264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Hochstoeger</dc:creator>
  <cp:lastModifiedBy>Thomas Woeber</cp:lastModifiedBy>
  <cp:revision>9</cp:revision>
  <cp:lastPrinted>2017-09-15T12:01:00Z</cp:lastPrinted>
  <dcterms:created xsi:type="dcterms:W3CDTF">2017-09-25T10:21:00Z</dcterms:created>
  <dcterms:modified xsi:type="dcterms:W3CDTF">2017-09-25T10:37:00Z</dcterms:modified>
</cp:coreProperties>
</file>