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F31C8" w14:textId="77777777" w:rsidR="0050251F" w:rsidRDefault="0050251F" w:rsidP="0050251F">
      <w:pPr>
        <w:pStyle w:val="Kopfzeile"/>
        <w:spacing w:after="0"/>
        <w:rPr>
          <w:lang w:val="de-DE"/>
        </w:rPr>
      </w:pPr>
      <w:r>
        <w:rPr>
          <w:lang w:val="de-DE"/>
        </w:rPr>
        <w:t>An die</w:t>
      </w:r>
    </w:p>
    <w:p w14:paraId="3DA5892B" w14:textId="77777777" w:rsidR="0050251F" w:rsidRPr="003E62CF" w:rsidRDefault="0050251F" w:rsidP="0050251F">
      <w:pPr>
        <w:pStyle w:val="Kopfzeile"/>
        <w:spacing w:after="0"/>
        <w:rPr>
          <w:lang w:val="de-DE"/>
        </w:rPr>
      </w:pPr>
      <w:r>
        <w:rPr>
          <w:lang w:val="de-DE"/>
        </w:rPr>
        <w:t>Österreichische Forschungsförderungsgesellschaft mbH</w:t>
      </w:r>
    </w:p>
    <w:p w14:paraId="1FC49837" w14:textId="77777777" w:rsidR="0050251F" w:rsidRDefault="0050251F" w:rsidP="00004468">
      <w:pPr>
        <w:pStyle w:val="berschriftCover"/>
        <w:jc w:val="center"/>
        <w:rPr>
          <w:sz w:val="32"/>
          <w:szCs w:val="32"/>
        </w:rPr>
      </w:pPr>
      <w:bookmarkStart w:id="0" w:name="_GoBack"/>
    </w:p>
    <w:bookmarkEnd w:id="0"/>
    <w:p w14:paraId="77CEAFEB" w14:textId="77777777" w:rsidR="0050251F" w:rsidRDefault="0050251F" w:rsidP="00004468">
      <w:pPr>
        <w:pStyle w:val="berschriftCover"/>
        <w:jc w:val="center"/>
        <w:rPr>
          <w:sz w:val="32"/>
          <w:szCs w:val="32"/>
        </w:rPr>
      </w:pPr>
    </w:p>
    <w:p w14:paraId="24DAB60F" w14:textId="07C3AAE5" w:rsidR="00344330" w:rsidRPr="003E62CF" w:rsidRDefault="002839E7" w:rsidP="00004468">
      <w:pPr>
        <w:pStyle w:val="berschriftCover"/>
        <w:jc w:val="center"/>
        <w:rPr>
          <w:sz w:val="32"/>
          <w:szCs w:val="32"/>
          <w:lang w:val="de-DE"/>
        </w:rPr>
      </w:pPr>
      <w:r w:rsidRPr="003E62CF">
        <w:rPr>
          <w:sz w:val="32"/>
          <w:szCs w:val="32"/>
        </w:rPr>
        <w:t>S</w:t>
      </w:r>
      <w:r w:rsidR="00432429">
        <w:rPr>
          <w:sz w:val="32"/>
          <w:szCs w:val="32"/>
        </w:rPr>
        <w:t>elbsterklärung Zur restfinanzierung</w:t>
      </w:r>
      <w:r w:rsidR="00804484">
        <w:rPr>
          <w:sz w:val="32"/>
          <w:szCs w:val="32"/>
        </w:rPr>
        <w:t xml:space="preserve"> für den Nutzungstyp „Wirtschaftlich</w:t>
      </w:r>
      <w:r w:rsidR="00EA5A87">
        <w:rPr>
          <w:sz w:val="32"/>
          <w:szCs w:val="32"/>
        </w:rPr>
        <w:t>e Nutzung</w:t>
      </w:r>
      <w:r w:rsidR="00804484">
        <w:rPr>
          <w:sz w:val="32"/>
          <w:szCs w:val="32"/>
        </w:rPr>
        <w:t>“</w:t>
      </w:r>
    </w:p>
    <w:p w14:paraId="01CF55F8" w14:textId="77777777" w:rsidR="00432429" w:rsidRDefault="00432429" w:rsidP="00DB1710">
      <w:pPr>
        <w:pStyle w:val="Listenabsatz"/>
        <w:tabs>
          <w:tab w:val="left" w:pos="709"/>
          <w:tab w:val="left" w:pos="1985"/>
          <w:tab w:val="left" w:pos="2694"/>
        </w:tabs>
        <w:spacing w:before="240" w:after="120"/>
        <w:contextualSpacing w:val="0"/>
      </w:pPr>
    </w:p>
    <w:p w14:paraId="03BE716C" w14:textId="77777777" w:rsidR="005D4590" w:rsidRDefault="00804484" w:rsidP="00DB1710">
      <w:pPr>
        <w:pStyle w:val="Listenabsatz"/>
        <w:tabs>
          <w:tab w:val="left" w:pos="709"/>
          <w:tab w:val="left" w:pos="1985"/>
          <w:tab w:val="left" w:pos="2694"/>
        </w:tabs>
        <w:spacing w:before="240" w:after="120"/>
        <w:contextualSpacing w:val="0"/>
      </w:pPr>
      <w:r>
        <w:t xml:space="preserve">Die Forschungseinrichtung </w:t>
      </w:r>
    </w:p>
    <w:p w14:paraId="47824D5A" w14:textId="77777777" w:rsidR="005D4590" w:rsidRDefault="005D4590" w:rsidP="005D4590">
      <w:pPr>
        <w:ind w:firstLine="708"/>
        <w:rPr>
          <w:i/>
        </w:rPr>
      </w:pPr>
      <w:r>
        <w:rPr>
          <w:i/>
          <w:highlight w:val="yellow"/>
        </w:rPr>
        <w:t>Förderungswerbende Forschungseinrichtung: Bezeichnung der Einrichtung</w:t>
      </w:r>
    </w:p>
    <w:p w14:paraId="2B408A84" w14:textId="793CAB48" w:rsidR="00226440" w:rsidRPr="00DB1710" w:rsidRDefault="00226440" w:rsidP="00DB1710">
      <w:pPr>
        <w:pStyle w:val="Listenabsatz"/>
        <w:tabs>
          <w:tab w:val="left" w:pos="709"/>
          <w:tab w:val="left" w:pos="1985"/>
          <w:tab w:val="left" w:pos="2694"/>
        </w:tabs>
        <w:spacing w:before="240" w:after="120"/>
        <w:contextualSpacing w:val="0"/>
        <w:rPr>
          <w:rFonts w:asciiTheme="majorHAnsi" w:eastAsia="MS Gothic" w:hAnsiTheme="majorHAnsi" w:cstheme="majorHAnsi"/>
        </w:rPr>
      </w:pPr>
      <w:r>
        <w:rPr>
          <w:rFonts w:asciiTheme="majorHAnsi" w:eastAsia="MS Gothic" w:hAnsiTheme="majorHAnsi" w:cstheme="majorHAnsi"/>
        </w:rPr>
        <w:t xml:space="preserve">bestätigt, dass </w:t>
      </w:r>
      <w:r w:rsidRPr="00DB1710">
        <w:rPr>
          <w:rFonts w:asciiTheme="majorHAnsi" w:eastAsia="MS Gothic" w:hAnsiTheme="majorHAnsi" w:cstheme="majorHAnsi"/>
        </w:rPr>
        <w:t>die Restfinanzierung für das Projekt</w:t>
      </w:r>
    </w:p>
    <w:p w14:paraId="1798A9A9" w14:textId="65E9E03C" w:rsidR="00226440" w:rsidRDefault="00226440" w:rsidP="00DB1710">
      <w:pPr>
        <w:pStyle w:val="Listenabsatz"/>
        <w:tabs>
          <w:tab w:val="left" w:pos="709"/>
          <w:tab w:val="left" w:pos="1985"/>
          <w:tab w:val="left" w:pos="2694"/>
        </w:tabs>
        <w:spacing w:before="120" w:after="120"/>
        <w:ind w:left="709"/>
        <w:contextualSpacing w:val="0"/>
        <w:rPr>
          <w:rFonts w:asciiTheme="majorHAnsi" w:eastAsia="MS Gothic" w:hAnsiTheme="majorHAnsi" w:cstheme="majorHAnsi"/>
        </w:rPr>
      </w:pPr>
      <w:r w:rsidRPr="00E70DDA">
        <w:rPr>
          <w:i/>
          <w:highlight w:val="yellow"/>
        </w:rPr>
        <w:t>P</w:t>
      </w:r>
      <w:r w:rsidR="00DB1710">
        <w:rPr>
          <w:i/>
          <w:highlight w:val="yellow"/>
        </w:rPr>
        <w:t xml:space="preserve">rojektkurztitel und </w:t>
      </w:r>
      <w:proofErr w:type="spellStart"/>
      <w:r w:rsidR="00DB1710">
        <w:rPr>
          <w:i/>
          <w:highlight w:val="yellow"/>
        </w:rPr>
        <w:t>eCall</w:t>
      </w:r>
      <w:proofErr w:type="spellEnd"/>
      <w:r w:rsidR="00DB1710">
        <w:rPr>
          <w:i/>
          <w:highlight w:val="yellow"/>
        </w:rPr>
        <w:t>-</w:t>
      </w:r>
      <w:r w:rsidRPr="00E70DDA">
        <w:rPr>
          <w:i/>
          <w:highlight w:val="yellow"/>
        </w:rPr>
        <w:t>Antragsnummer</w:t>
      </w:r>
      <w:r w:rsidR="0052701E" w:rsidRPr="00E70DDA">
        <w:rPr>
          <w:i/>
          <w:highlight w:val="yellow"/>
        </w:rPr>
        <w:t xml:space="preserve"> (achtstellig)</w:t>
      </w:r>
    </w:p>
    <w:p w14:paraId="1282EC07" w14:textId="14AAEC56" w:rsidR="00226440" w:rsidRDefault="00226440" w:rsidP="00DB1710">
      <w:pPr>
        <w:pStyle w:val="Listenabsatz"/>
        <w:tabs>
          <w:tab w:val="left" w:pos="709"/>
          <w:tab w:val="left" w:pos="1985"/>
          <w:tab w:val="left" w:pos="2694"/>
        </w:tabs>
        <w:spacing w:before="240" w:after="120"/>
        <w:rPr>
          <w:rFonts w:asciiTheme="majorHAnsi" w:eastAsia="MS Gothic" w:hAnsiTheme="majorHAnsi" w:cstheme="majorHAnsi"/>
        </w:rPr>
      </w:pPr>
      <w:r>
        <w:rPr>
          <w:rFonts w:asciiTheme="majorHAnsi" w:eastAsia="MS Gothic" w:hAnsiTheme="majorHAnsi" w:cstheme="majorHAnsi"/>
        </w:rPr>
        <w:t xml:space="preserve">aus keinen weiteren </w:t>
      </w:r>
      <w:r w:rsidRPr="00226440">
        <w:rPr>
          <w:rFonts w:asciiTheme="majorHAnsi" w:eastAsia="MS Gothic" w:hAnsiTheme="majorHAnsi" w:cstheme="majorHAnsi"/>
        </w:rPr>
        <w:t>öffentlichen Mittel (z.B. Finanzierung aus Mitteln des Globalbudgets/der Leistungsvereinbarung für Universitäten oder aus anderen Förderungen, z.B. eines Bundeslandes)</w:t>
      </w:r>
      <w:r>
        <w:rPr>
          <w:rFonts w:asciiTheme="majorHAnsi" w:eastAsia="MS Gothic" w:hAnsiTheme="majorHAnsi" w:cstheme="majorHAnsi"/>
        </w:rPr>
        <w:t xml:space="preserve"> aufgebracht wurde.</w:t>
      </w:r>
    </w:p>
    <w:p w14:paraId="7772AFBC" w14:textId="6136317B" w:rsidR="00226440" w:rsidRDefault="00226440" w:rsidP="00DB1710">
      <w:pPr>
        <w:pStyle w:val="Listenabsatz"/>
        <w:tabs>
          <w:tab w:val="left" w:pos="709"/>
          <w:tab w:val="left" w:pos="1985"/>
          <w:tab w:val="left" w:pos="2694"/>
        </w:tabs>
        <w:spacing w:before="240" w:after="120"/>
        <w:contextualSpacing w:val="0"/>
        <w:rPr>
          <w:rFonts w:asciiTheme="majorHAnsi" w:eastAsia="MS Gothic" w:hAnsiTheme="majorHAnsi" w:cstheme="majorHAnsi"/>
        </w:rPr>
      </w:pPr>
      <w:r>
        <w:rPr>
          <w:rFonts w:asciiTheme="majorHAnsi" w:eastAsia="MS Gothic" w:hAnsiTheme="majorHAnsi" w:cstheme="majorHAnsi"/>
        </w:rPr>
        <w:t>D</w:t>
      </w:r>
      <w:r w:rsidRPr="00226440">
        <w:rPr>
          <w:rFonts w:asciiTheme="majorHAnsi" w:eastAsia="MS Gothic" w:hAnsiTheme="majorHAnsi" w:cstheme="majorHAnsi"/>
        </w:rPr>
        <w:t xml:space="preserve">er verbleibende Eigenanteil (mind. 50 %) </w:t>
      </w:r>
      <w:r>
        <w:rPr>
          <w:rFonts w:asciiTheme="majorHAnsi" w:eastAsia="MS Gothic" w:hAnsiTheme="majorHAnsi" w:cstheme="majorHAnsi"/>
        </w:rPr>
        <w:t>setzt sich aus</w:t>
      </w:r>
      <w:r w:rsidRPr="00226440">
        <w:rPr>
          <w:rFonts w:asciiTheme="majorHAnsi" w:eastAsia="MS Gothic" w:hAnsiTheme="majorHAnsi" w:cstheme="majorHAnsi"/>
        </w:rPr>
        <w:t xml:space="preserve"> Eigenmittel, die nicht zu öffentlichen Mitteln zu zählen sind (z.B. Erlöse aus Auftragsforschung oder Forschungsdienstleistungen), und/oder mitfinanzierende Organisationen </w:t>
      </w:r>
      <w:r>
        <w:rPr>
          <w:rFonts w:asciiTheme="majorHAnsi" w:eastAsia="MS Gothic" w:hAnsiTheme="majorHAnsi" w:cstheme="majorHAnsi"/>
        </w:rPr>
        <w:t>zusammen</w:t>
      </w:r>
      <w:r w:rsidRPr="00226440">
        <w:rPr>
          <w:rFonts w:asciiTheme="majorHAnsi" w:eastAsia="MS Gothic" w:hAnsiTheme="majorHAnsi" w:cstheme="majorHAnsi"/>
        </w:rPr>
        <w:t>.</w:t>
      </w:r>
    </w:p>
    <w:p w14:paraId="5FBE81C5" w14:textId="04B95751" w:rsidR="005F7059" w:rsidRDefault="005F7059" w:rsidP="005F7059">
      <w:r>
        <w:t xml:space="preserve">Es </w:t>
      </w:r>
      <w:r w:rsidR="00441F64">
        <w:t xml:space="preserve">wird </w:t>
      </w:r>
      <w:r>
        <w:t xml:space="preserve">eine Trennungsrechnung </w:t>
      </w:r>
      <w:r w:rsidR="00441F64">
        <w:t>geführt</w:t>
      </w:r>
      <w:r>
        <w:t>,</w:t>
      </w:r>
      <w:r w:rsidR="00C17C17">
        <w:t xml:space="preserve"> damit eindeutig zwischen wirtschaftlicher und nicht-wirtschaftlicher Tätigkeit unterschieden werden kann</w:t>
      </w:r>
      <w:r>
        <w:t xml:space="preserve">. </w:t>
      </w:r>
      <w:r w:rsidRPr="00FD4239">
        <w:t>Der Nachweis der korrekten Zuordnung der Finanzierung kann im Jahresabschluss der betreffenden Einrichtung geführt werden.</w:t>
      </w:r>
    </w:p>
    <w:p w14:paraId="77152987" w14:textId="77777777" w:rsidR="005F7059" w:rsidRDefault="005F7059" w:rsidP="00DB1710">
      <w:pPr>
        <w:pStyle w:val="Listenabsatz"/>
        <w:tabs>
          <w:tab w:val="left" w:pos="709"/>
          <w:tab w:val="left" w:pos="1985"/>
          <w:tab w:val="left" w:pos="2694"/>
        </w:tabs>
        <w:spacing w:before="240" w:after="120"/>
        <w:contextualSpacing w:val="0"/>
        <w:rPr>
          <w:rFonts w:asciiTheme="majorHAnsi" w:eastAsia="MS Gothic" w:hAnsiTheme="majorHAnsi" w:cstheme="majorHAnsi"/>
        </w:rPr>
      </w:pPr>
    </w:p>
    <w:p w14:paraId="1F2F7AC6" w14:textId="3289B1D6" w:rsidR="002839E7" w:rsidRPr="00DB1710" w:rsidRDefault="000574D1" w:rsidP="00DB1710">
      <w:pPr>
        <w:pStyle w:val="Listenabsatz"/>
        <w:tabs>
          <w:tab w:val="left" w:pos="709"/>
          <w:tab w:val="left" w:pos="1985"/>
          <w:tab w:val="left" w:pos="2694"/>
        </w:tabs>
        <w:spacing w:before="360" w:after="120"/>
        <w:contextualSpacing w:val="0"/>
        <w:rPr>
          <w:rFonts w:asciiTheme="majorHAnsi" w:eastAsia="MS Gothic" w:hAnsiTheme="majorHAnsi" w:cstheme="majorHAnsi"/>
        </w:rPr>
      </w:pPr>
      <w:r w:rsidRPr="00DB1710">
        <w:rPr>
          <w:rFonts w:asciiTheme="majorHAnsi" w:eastAsia="MS Gothic" w:hAnsiTheme="majorHAnsi" w:cstheme="majorHAnsi"/>
        </w:rPr>
        <w:t xml:space="preserve">Mit Unterfertigung </w:t>
      </w:r>
      <w:r w:rsidR="00B968BE" w:rsidRPr="00DB1710">
        <w:rPr>
          <w:rFonts w:asciiTheme="majorHAnsi" w:eastAsia="MS Gothic" w:hAnsiTheme="majorHAnsi" w:cstheme="majorHAnsi"/>
        </w:rPr>
        <w:t xml:space="preserve">wird </w:t>
      </w:r>
      <w:r w:rsidRPr="00DB1710">
        <w:rPr>
          <w:rFonts w:asciiTheme="majorHAnsi" w:eastAsia="MS Gothic" w:hAnsiTheme="majorHAnsi" w:cstheme="majorHAnsi"/>
        </w:rPr>
        <w:t>die Vollständigkeit und Richtigkeit dieser Angaben</w:t>
      </w:r>
      <w:r w:rsidR="00B968BE" w:rsidRPr="00DB1710">
        <w:rPr>
          <w:rFonts w:asciiTheme="majorHAnsi" w:eastAsia="MS Gothic" w:hAnsiTheme="majorHAnsi" w:cstheme="majorHAnsi"/>
        </w:rPr>
        <w:t xml:space="preserve"> bestätigt</w:t>
      </w:r>
      <w:r w:rsidRPr="00DB1710">
        <w:rPr>
          <w:rFonts w:asciiTheme="majorHAnsi" w:eastAsia="MS Gothic" w:hAnsiTheme="majorHAnsi" w:cstheme="majorHAnsi"/>
        </w:rPr>
        <w:t>.</w:t>
      </w:r>
    </w:p>
    <w:p w14:paraId="7B85B081" w14:textId="77777777" w:rsidR="00004468" w:rsidRPr="00DB1710" w:rsidRDefault="00004468" w:rsidP="00DB1710">
      <w:pPr>
        <w:pStyle w:val="Listenabsatz"/>
        <w:tabs>
          <w:tab w:val="left" w:pos="709"/>
          <w:tab w:val="left" w:pos="1985"/>
          <w:tab w:val="left" w:pos="2694"/>
        </w:tabs>
        <w:spacing w:before="480" w:after="120"/>
        <w:rPr>
          <w:rFonts w:asciiTheme="majorHAnsi" w:eastAsia="MS Gothic" w:hAnsiTheme="majorHAnsi" w:cstheme="majorHAnsi"/>
        </w:rPr>
      </w:pPr>
    </w:p>
    <w:p w14:paraId="3F11A8FE" w14:textId="2132B9C7" w:rsidR="00DD6641" w:rsidRDefault="00DD6641" w:rsidP="000574D1"/>
    <w:p w14:paraId="423449EC" w14:textId="2CB53294" w:rsidR="00DB1710" w:rsidRDefault="00DB1710" w:rsidP="000574D1"/>
    <w:p w14:paraId="3E62229F" w14:textId="77777777" w:rsidR="00DB1710" w:rsidRDefault="00DB1710" w:rsidP="000574D1"/>
    <w:p w14:paraId="54AAEF31" w14:textId="3C928381" w:rsidR="00804484" w:rsidRDefault="00004468" w:rsidP="00DB1710">
      <w:pPr>
        <w:rPr>
          <w:i/>
        </w:rPr>
      </w:pPr>
      <w:r w:rsidRPr="00DD6641">
        <w:rPr>
          <w:i/>
        </w:rPr>
        <w:t xml:space="preserve">Ort, Datum </w:t>
      </w:r>
      <w:r>
        <w:tab/>
      </w:r>
      <w:r>
        <w:tab/>
      </w:r>
      <w:r>
        <w:tab/>
      </w:r>
      <w:r>
        <w:tab/>
      </w:r>
      <w:r>
        <w:tab/>
      </w:r>
      <w:r>
        <w:tab/>
      </w:r>
      <w:r w:rsidRPr="00DD6641">
        <w:rPr>
          <w:i/>
        </w:rPr>
        <w:t>Firmenmäßige Unterfertigung</w:t>
      </w:r>
      <w:r w:rsidR="00804484">
        <w:rPr>
          <w:i/>
        </w:rPr>
        <w:br w:type="page"/>
      </w:r>
    </w:p>
    <w:p w14:paraId="23A5BF6F" w14:textId="49C8105E" w:rsidR="00804484" w:rsidRDefault="00804484" w:rsidP="00804484">
      <w:pPr>
        <w:spacing w:before="720"/>
        <w:rPr>
          <w:b/>
          <w:sz w:val="24"/>
        </w:rPr>
      </w:pPr>
      <w:r>
        <w:rPr>
          <w:b/>
          <w:sz w:val="24"/>
        </w:rPr>
        <w:lastRenderedPageBreak/>
        <w:t xml:space="preserve">Erläuterungen, Definitionen gemäß </w:t>
      </w:r>
      <w:hyperlink r:id="rId8" w:history="1">
        <w:r>
          <w:rPr>
            <w:rStyle w:val="Hyperlink"/>
            <w:b/>
            <w:sz w:val="24"/>
            <w:lang w:val="de-DE"/>
          </w:rPr>
          <w:t>Unionsrahmen für staatliche Beihilfen zur Förderung von Forschung, Entwicklung und Innovation</w:t>
        </w:r>
      </w:hyperlink>
      <w:r w:rsidR="00A059EB">
        <w:rPr>
          <w:rStyle w:val="Funotenzeichen"/>
          <w:b/>
          <w:sz w:val="24"/>
        </w:rPr>
        <w:footnoteReference w:id="1"/>
      </w:r>
      <w:r>
        <w:rPr>
          <w:b/>
          <w:sz w:val="24"/>
        </w:rPr>
        <w:t>:</w:t>
      </w:r>
    </w:p>
    <w:p w14:paraId="28ADBD99" w14:textId="77777777" w:rsidR="00804484" w:rsidRDefault="00804484" w:rsidP="00804484">
      <w:r>
        <w:t xml:space="preserve">Gemäß den beihilferechtlichen Vorschriften der Europäischen Union unterliegt die förderungswerbende Forschungseinrichtungen dann nicht dem Anwendungsbereich des EU-Beihilferechts, wenn es sich gemäß Art 107 </w:t>
      </w:r>
      <w:proofErr w:type="spellStart"/>
      <w:r>
        <w:t>Abs</w:t>
      </w:r>
      <w:proofErr w:type="spellEnd"/>
      <w:r>
        <w:t xml:space="preserve"> 1 AEUV</w:t>
      </w:r>
      <w:r>
        <w:rPr>
          <w:rStyle w:val="Funotenzeichen"/>
        </w:rPr>
        <w:footnoteReference w:id="2"/>
      </w:r>
      <w:r>
        <w:t xml:space="preserve"> um kein „Unternehmen“ im EU-rechtlichen Sinn handelt. Der Begriff des Unternehmens umfasst jede eine wirtschaftliche Tätigkeit ausübende Einheit, unabhängig ihrer Rechtsform und der Art der Finanzierung. </w:t>
      </w:r>
    </w:p>
    <w:p w14:paraId="2C4F59DF" w14:textId="0EDABB89" w:rsidR="00804484" w:rsidRDefault="00804484" w:rsidP="00804484">
      <w:r>
        <w:t xml:space="preserve">Der Nachweis von Art und Umfang der wirtschaftlichen / nicht-wirtschaftlichen Tätigkeiten hat jährlich durch eine Selbsterklärung </w:t>
      </w:r>
      <w:r w:rsidR="00FD38A4">
        <w:t xml:space="preserve">der Forschungseinrichtung, Bestätigung einer Wirtschaftsprüfenden Organisation über die Führung einer Trennungsrechnung </w:t>
      </w:r>
      <w:r>
        <w:t>sowie die Übermittlung eines von einer wirtschaftsprüfenden Organisation testierten Jahres- bzw. Rechnungsabschlusses an die FFG, unter Beifügung geeigneter Belege zur Trennungsrechnung, wie Grundsätze und Auszüge aus der Kostenrechnung, Quotierung der Kapazitäten und Ähnliches, zu erfolgen.</w:t>
      </w:r>
    </w:p>
    <w:p w14:paraId="7B3777D4" w14:textId="77777777" w:rsidR="00804484" w:rsidRDefault="00804484" w:rsidP="00804484">
      <w:r>
        <w:t>Die Europäische Kommission betrachtet derzeit die folgenden Tätigkeiten grundsätzlich als nicht-wirtschaftliche Tätigkeiten:</w:t>
      </w:r>
    </w:p>
    <w:p w14:paraId="19FD0C95" w14:textId="77777777" w:rsidR="00804484" w:rsidRDefault="00804484" w:rsidP="00804484">
      <w:pPr>
        <w:pStyle w:val="Listenabsatz"/>
        <w:numPr>
          <w:ilvl w:val="0"/>
          <w:numId w:val="40"/>
        </w:numPr>
        <w:ind w:left="284"/>
      </w:pPr>
      <w:r>
        <w:t>Primäre Tätigkeiten von Forschungseinrichtungen und Forschungsinfrastrukturen, insbesondere:</w:t>
      </w:r>
    </w:p>
    <w:p w14:paraId="1BD880AE" w14:textId="77777777" w:rsidR="00804484" w:rsidRDefault="00804484" w:rsidP="00804484">
      <w:pPr>
        <w:pStyle w:val="Listenabsatz"/>
        <w:numPr>
          <w:ilvl w:val="0"/>
          <w:numId w:val="41"/>
        </w:numPr>
      </w:pPr>
      <w:r>
        <w:t>die Ausbildung von mehr oder besser qualifizierten Humanressourcen. Im Einklang mit der Rechtsprechung und Beschlusspraxis der Kommission und wie in der Bekanntmachung der Kommission über den Begriff der staatlichen Beihilfe und in der DAWI-Mitteilung ausgeführt, gilt die innerhalb des nationalen Bildungswesens organisierte öffentliche Bildung, die überwiegend oder vollständig vom Staat finanziert und überwacht wird, als nicht-wirtschaftliche Tätigkeit;</w:t>
      </w:r>
    </w:p>
    <w:p w14:paraId="5BCD50CD" w14:textId="77777777" w:rsidR="00804484" w:rsidRDefault="00804484" w:rsidP="00804484">
      <w:pPr>
        <w:pStyle w:val="Listenabsatz"/>
        <w:numPr>
          <w:ilvl w:val="0"/>
          <w:numId w:val="41"/>
        </w:numPr>
      </w:pPr>
      <w:r>
        <w:t xml:space="preserve">unabhängige </w:t>
      </w:r>
      <w:proofErr w:type="spellStart"/>
      <w:r>
        <w:t>FuE</w:t>
      </w:r>
      <w:proofErr w:type="spellEnd"/>
      <w:r>
        <w:t xml:space="preserve"> zur Erweiterung des Wissens und des Verständnisses, auch im Verbund, wenn die Forschungseinrichtung bzw. die Forschungsinfrastruktur eine wirksame Zusammenarbeit </w:t>
      </w:r>
      <w:proofErr w:type="gramStart"/>
      <w:r>
        <w:t>eingeht</w:t>
      </w:r>
      <w:proofErr w:type="gramEnd"/>
      <w:r>
        <w:t>;</w:t>
      </w:r>
    </w:p>
    <w:p w14:paraId="6EA1AE26" w14:textId="77777777" w:rsidR="00804484" w:rsidRDefault="00804484" w:rsidP="00DB1710">
      <w:pPr>
        <w:pStyle w:val="Listenabsatz"/>
        <w:numPr>
          <w:ilvl w:val="0"/>
          <w:numId w:val="41"/>
        </w:numPr>
        <w:spacing w:before="240"/>
        <w:ind w:left="714" w:hanging="357"/>
        <w:contextualSpacing w:val="0"/>
      </w:pPr>
      <w:r>
        <w:t xml:space="preserve">weite Verbreitung der Forschungsergebnisse auf nicht-ausschließlicher und </w:t>
      </w:r>
      <w:proofErr w:type="gramStart"/>
      <w:r>
        <w:t>nicht-diskriminierender</w:t>
      </w:r>
      <w:proofErr w:type="gramEnd"/>
      <w:r>
        <w:t xml:space="preserve"> Basis, zum Beispiel durch Lehre, frei zugängliche Datenbanken, allgemein zugängliche Veröffentlichungen oder offene Software.</w:t>
      </w:r>
    </w:p>
    <w:p w14:paraId="4BA2D44D" w14:textId="77777777" w:rsidR="00804484" w:rsidRDefault="00804484" w:rsidP="00804484">
      <w:pPr>
        <w:pStyle w:val="Listenabsatz"/>
        <w:numPr>
          <w:ilvl w:val="0"/>
          <w:numId w:val="40"/>
        </w:numPr>
        <w:ind w:left="284"/>
      </w:pPr>
      <w:r>
        <w:t xml:space="preserve">Tätigkeiten des Wissenstransfers, soweit sie entweder durch die Forschungseinrichtung oder Forschungsinfrastruktur (einschließlich ihrer Abteilungen oder Untergliederungen) oder gemeinsam mit anderen Forschungseinrichtungen oder Forschungsinfrastrukturen oder in deren Auftrag durchgeführt werden, sofern die Gewinne aus diesen Tätigkeiten in die primären (s.o.) Tätigkeiten der Forschungseinrichtung oder der Forschungsinfrastruktur reinvestiert werden. Der nicht-wirtschaftliche Charakter dieser Tätigkeiten bleibt </w:t>
      </w:r>
      <w:r>
        <w:lastRenderedPageBreak/>
        <w:t>durch die im Wege einer offenen Ausschreibung erfolgende Vergabe entsprechender Dienstleistungen an Dritte unberührt.</w:t>
      </w:r>
    </w:p>
    <w:p w14:paraId="40B76869" w14:textId="77777777" w:rsidR="00804484" w:rsidRDefault="00804484" w:rsidP="00804484">
      <w:r>
        <w:t>Wirtschaftliche Nutzung ist als Nebentätigkeit zulässig, wenn:</w:t>
      </w:r>
    </w:p>
    <w:p w14:paraId="572D6733" w14:textId="77777777" w:rsidR="00804484" w:rsidRDefault="00804484" w:rsidP="00804484">
      <w:pPr>
        <w:pStyle w:val="Listenabsatz"/>
        <w:numPr>
          <w:ilvl w:val="0"/>
          <w:numId w:val="36"/>
        </w:numPr>
      </w:pPr>
      <w:r>
        <w:t>ihr Umfang jedenfalls begrenzt ist, d.h. sie nicht mehr als 20 % der tatsächlichen jährlichen Gesamtkapazität der F&amp;E-Infrastruktur ausmacht und</w:t>
      </w:r>
    </w:p>
    <w:p w14:paraId="03DCEE51" w14:textId="77777777" w:rsidR="00804484" w:rsidRDefault="00804484" w:rsidP="00804484">
      <w:pPr>
        <w:pStyle w:val="Listenabsatz"/>
        <w:numPr>
          <w:ilvl w:val="0"/>
          <w:numId w:val="36"/>
        </w:numPr>
      </w:pPr>
      <w:r>
        <w:t>sie über die Finanzierung, Kosten und Erlöse für jede Art der Tätigkeit getrennte Bücher nach einheitlich angewandten und sachlich zu rechtfertigenden Kostenrechnungsgrundätzen führen (</w:t>
      </w:r>
      <w:hyperlink r:id="rId9" w:anchor="Trennungsrechnung" w:history="1">
        <w:r>
          <w:rPr>
            <w:rStyle w:val="Hyperlink"/>
          </w:rPr>
          <w:t>Führen einer Trennungsrechnung</w:t>
        </w:r>
      </w:hyperlink>
      <w:r>
        <w:rPr>
          <w:rStyle w:val="Hyperlink"/>
          <w:color w:val="auto"/>
        </w:rPr>
        <w:t xml:space="preserve">) </w:t>
      </w:r>
      <w:r>
        <w:t>und</w:t>
      </w:r>
    </w:p>
    <w:p w14:paraId="4DAF4449" w14:textId="77777777" w:rsidR="00804484" w:rsidRDefault="00804484" w:rsidP="00804484">
      <w:pPr>
        <w:pStyle w:val="Listenabsatz"/>
        <w:numPr>
          <w:ilvl w:val="0"/>
          <w:numId w:val="36"/>
        </w:numPr>
      </w:pPr>
      <w:r>
        <w:t>sie mit dem Betrieb der Infrastruktur unmittelbar verbunden und dafür erforderlich ist oder</w:t>
      </w:r>
    </w:p>
    <w:p w14:paraId="57DB7A76" w14:textId="77777777" w:rsidR="00804484" w:rsidRDefault="00804484" w:rsidP="00804484">
      <w:pPr>
        <w:pStyle w:val="Listenabsatz"/>
        <w:numPr>
          <w:ilvl w:val="0"/>
          <w:numId w:val="36"/>
        </w:numPr>
      </w:pPr>
      <w:r>
        <w:t>sie in untrennbarem Zusammenhang mit der nicht-wirtschaftlichen Haupttätigkeit steht, d.h. dass dieselben Inputs (wie Material, Ausrüstung, Personal und Anlagekapital) eingesetzt werden wie für die nicht-wirtschaftliche Tätigkeit.</w:t>
      </w:r>
    </w:p>
    <w:p w14:paraId="19F5E7D2" w14:textId="77777777" w:rsidR="00804484" w:rsidRDefault="00804484" w:rsidP="00804484">
      <w:pPr>
        <w:rPr>
          <w:b/>
        </w:rPr>
      </w:pPr>
      <w:bookmarkStart w:id="1" w:name="Trennungsrechnung"/>
      <w:r>
        <w:rPr>
          <w:b/>
        </w:rPr>
        <w:t>Trennungsrechnung</w:t>
      </w:r>
      <w:bookmarkEnd w:id="1"/>
      <w:r>
        <w:rPr>
          <w:b/>
        </w:rPr>
        <w:t>:</w:t>
      </w:r>
    </w:p>
    <w:p w14:paraId="09CB2CCC" w14:textId="75FE9041" w:rsidR="00804484" w:rsidRDefault="00804484" w:rsidP="00804484">
      <w:r>
        <w:t>Übt ein und dieselbe Forschungseinrichtung sowohl wirtschaftliche als auch nicht-wirtschaftliche Tätigkeiten aus, müssen die nicht-wirtschaftlichen und die wirtschaftlichen Tätigkeiten und ihre Kosten, Finanzierung und Erlöse klar voneinander getrennt werden können, sodass keine Gefahr der Quersubventionierung der wirtschaftlichen Tätigkeit</w:t>
      </w:r>
      <w:r w:rsidR="00DB1710">
        <w:t>en</w:t>
      </w:r>
      <w:r>
        <w:t xml:space="preserve"> besteht. </w:t>
      </w:r>
      <w:r w:rsidRPr="00FD4239">
        <w:t>Der Nachweis der korrekten Zuordnung der Kosten, Finanzierung und Erlöse kann im Jahresabschluss der betreffenden Einrichtung geführt werden.</w:t>
      </w:r>
    </w:p>
    <w:p w14:paraId="528248DA" w14:textId="77777777" w:rsidR="00804484" w:rsidRDefault="00804484" w:rsidP="00804484">
      <w:r>
        <w:t>Es ergeben sich folgende Mindestanforderungen an die Trennungsrechnung:</w:t>
      </w:r>
    </w:p>
    <w:p w14:paraId="6B31BC9E" w14:textId="77777777" w:rsidR="00804484" w:rsidRDefault="00804484" w:rsidP="00804484">
      <w:pPr>
        <w:pStyle w:val="Listenabsatz"/>
        <w:numPr>
          <w:ilvl w:val="0"/>
          <w:numId w:val="36"/>
        </w:numPr>
      </w:pPr>
      <w:r>
        <w:t>Trennung der Kosten, Erlöse, und Finanzierung im Rechnungswesen und eindeutige Zuordnung zu Projekten, um Quersubventionierungen zu vermeiden.</w:t>
      </w:r>
    </w:p>
    <w:p w14:paraId="6E1DE90A" w14:textId="77777777" w:rsidR="00804484" w:rsidRDefault="00804484" w:rsidP="00804484">
      <w:pPr>
        <w:pStyle w:val="Listenabsatz"/>
        <w:numPr>
          <w:ilvl w:val="0"/>
          <w:numId w:val="36"/>
        </w:numPr>
      </w:pPr>
      <w:r>
        <w:t>Zuordnung der einzelnen Kostenträger in den wirtschaftlichen oder nicht-wirtschaftlichen Bereich.</w:t>
      </w:r>
    </w:p>
    <w:p w14:paraId="1D30800C" w14:textId="42F8352E" w:rsidR="00DD6641" w:rsidRPr="00D60479" w:rsidRDefault="00804484" w:rsidP="0052701E">
      <w:pPr>
        <w:pStyle w:val="Listenabsatz"/>
        <w:numPr>
          <w:ilvl w:val="0"/>
          <w:numId w:val="36"/>
        </w:numPr>
      </w:pPr>
      <w:r>
        <w:t xml:space="preserve">Quantifizierung des Umfangs der wirtschaftlichen Tätigkeiten im Hinblick auf die Randnummer 20 des </w:t>
      </w:r>
      <w:hyperlink r:id="rId10" w:history="1">
        <w:r w:rsidRPr="00A059EB">
          <w:rPr>
            <w:rStyle w:val="Hyperlink"/>
          </w:rPr>
          <w:t>Unionsrahmens</w:t>
        </w:r>
      </w:hyperlink>
    </w:p>
    <w:sectPr w:rsidR="00DD6641" w:rsidRPr="00D60479" w:rsidSect="002B3932">
      <w:headerReference w:type="default" r:id="rId11"/>
      <w:footerReference w:type="even" r:id="rId12"/>
      <w:footerReference w:type="default" r:id="rId13"/>
      <w:footerReference w:type="first" r:id="rId14"/>
      <w:pgSz w:w="11900" w:h="16840"/>
      <w:pgMar w:top="1560" w:right="1985" w:bottom="709"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EA77" w14:textId="77777777" w:rsidR="002B1595" w:rsidRDefault="002B1595" w:rsidP="006651B7">
      <w:pPr>
        <w:spacing w:line="240" w:lineRule="auto"/>
      </w:pPr>
      <w:r>
        <w:separator/>
      </w:r>
    </w:p>
    <w:p w14:paraId="61ACC35A" w14:textId="77777777" w:rsidR="002B1595" w:rsidRDefault="002B1595"/>
  </w:endnote>
  <w:endnote w:type="continuationSeparator" w:id="0">
    <w:p w14:paraId="16B0CB55" w14:textId="77777777" w:rsidR="002B1595" w:rsidRDefault="002B1595" w:rsidP="006651B7">
      <w:pPr>
        <w:spacing w:line="240" w:lineRule="auto"/>
      </w:pPr>
      <w:r>
        <w:continuationSeparator/>
      </w:r>
    </w:p>
    <w:p w14:paraId="1775326E" w14:textId="77777777" w:rsidR="002B1595" w:rsidRDefault="002B1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6DA576B"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1585E78" w14:textId="77777777" w:rsidR="00FF3183" w:rsidRDefault="00FF3183" w:rsidP="0045517C">
    <w:pPr>
      <w:pStyle w:val="Fuzeile"/>
      <w:ind w:right="360" w:firstLine="360"/>
    </w:pPr>
  </w:p>
  <w:p w14:paraId="362CD6B8"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4711" w14:textId="5E16E9B8" w:rsidR="00FF3183" w:rsidRPr="00A90564" w:rsidRDefault="00FF3183" w:rsidP="00FD38A4">
    <w:pPr>
      <w:pStyle w:val="Kopf-undFuzeile"/>
      <w:jc w:val="center"/>
    </w:pPr>
    <w:r w:rsidRPr="00787822">
      <w:t xml:space="preserve">Seite </w:t>
    </w:r>
    <w:r w:rsidRPr="00787822">
      <w:fldChar w:fldCharType="begin"/>
    </w:r>
    <w:r w:rsidRPr="00787822">
      <w:instrText xml:space="preserve"> PAGE </w:instrText>
    </w:r>
    <w:r w:rsidRPr="00787822">
      <w:fldChar w:fldCharType="separate"/>
    </w:r>
    <w:r w:rsidR="002B3932">
      <w:t>2</w:t>
    </w:r>
    <w:r w:rsidRPr="00787822">
      <w:fldChar w:fldCharType="end"/>
    </w:r>
    <w:r w:rsidRPr="00787822">
      <w:t>/</w:t>
    </w:r>
    <w:r>
      <w:rPr>
        <w:noProof w:val="0"/>
      </w:rPr>
      <w:fldChar w:fldCharType="begin"/>
    </w:r>
    <w:r>
      <w:instrText xml:space="preserve"> NUMPAGES </w:instrText>
    </w:r>
    <w:r>
      <w:rPr>
        <w:noProof w:val="0"/>
      </w:rPr>
      <w:fldChar w:fldCharType="separate"/>
    </w:r>
    <w:r w:rsidR="002B3932">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4BC8"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79D1" w14:textId="77777777" w:rsidR="002B1595" w:rsidRDefault="002B1595" w:rsidP="006651B7">
      <w:pPr>
        <w:spacing w:line="240" w:lineRule="auto"/>
      </w:pPr>
      <w:r>
        <w:separator/>
      </w:r>
    </w:p>
  </w:footnote>
  <w:footnote w:type="continuationSeparator" w:id="0">
    <w:p w14:paraId="3C45B906" w14:textId="77777777" w:rsidR="002B1595" w:rsidRDefault="002B1595" w:rsidP="006651B7">
      <w:pPr>
        <w:spacing w:line="240" w:lineRule="auto"/>
      </w:pPr>
      <w:r>
        <w:continuationSeparator/>
      </w:r>
    </w:p>
    <w:p w14:paraId="59D7EBA7" w14:textId="77777777" w:rsidR="002B1595" w:rsidRDefault="002B1595"/>
  </w:footnote>
  <w:footnote w:id="1">
    <w:p w14:paraId="1B28BB32" w14:textId="47DEA52F" w:rsidR="00A059EB" w:rsidRPr="00A059EB" w:rsidRDefault="00A059EB" w:rsidP="00A059EB">
      <w:pPr>
        <w:pStyle w:val="Funotentext"/>
        <w:spacing w:after="0"/>
      </w:pPr>
      <w:r>
        <w:rPr>
          <w:rStyle w:val="Funotenzeichen"/>
        </w:rPr>
        <w:footnoteRef/>
      </w:r>
      <w:r>
        <w:t xml:space="preserve"> </w:t>
      </w:r>
      <w:hyperlink r:id="rId1" w:history="1">
        <w:r w:rsidRPr="00F826C3">
          <w:rPr>
            <w:rStyle w:val="Hyperlink"/>
          </w:rPr>
          <w:t>https://www.ffg.at/sites/default/files/dok/anlage_2_amtsblatt_f_e_i_unionsrahmen.pdf</w:t>
        </w:r>
      </w:hyperlink>
    </w:p>
  </w:footnote>
  <w:footnote w:id="2">
    <w:p w14:paraId="2A434AE9" w14:textId="77777777" w:rsidR="00804484" w:rsidRDefault="00804484" w:rsidP="00A059EB">
      <w:pPr>
        <w:pStyle w:val="Funotentext"/>
        <w:spacing w:after="0"/>
        <w:rPr>
          <w:lang w:val="de-DE"/>
        </w:rPr>
      </w:pPr>
      <w:r>
        <w:rPr>
          <w:rStyle w:val="Funotenzeichen"/>
        </w:rPr>
        <w:footnoteRef/>
      </w:r>
      <w:r>
        <w:t xml:space="preserve"> Bekanntmachung der Kommission zum Begriff der staatlichen Beihilfe im Sinne des Artikels 107 Absatz 1 des Vertrags über die Arbeitsweise der Europäischen Union, </w:t>
      </w:r>
      <w:proofErr w:type="spellStart"/>
      <w:r>
        <w:t>ABl</w:t>
      </w:r>
      <w:proofErr w:type="spellEnd"/>
      <w:r>
        <w:t xml:space="preserve"> 2016 C 262/1 vom 19.07.2016, </w:t>
      </w:r>
      <w:proofErr w:type="spellStart"/>
      <w:r>
        <w:t>Rn</w:t>
      </w:r>
      <w:proofErr w:type="spellEnd"/>
      <w:r>
        <w:t xml:space="preserve"> 7 mit Verweis auf die </w:t>
      </w:r>
      <w:proofErr w:type="spellStart"/>
      <w:r>
        <w:t>stRsp</w:t>
      </w:r>
      <w:proofErr w:type="spellEnd"/>
      <w:r>
        <w:t xml:space="preserve"> </w:t>
      </w:r>
      <w:proofErr w:type="gramStart"/>
      <w:r>
        <w:t>des EuGH</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DFD8" w14:textId="77777777" w:rsidR="00FF3183" w:rsidRPr="00736E0A" w:rsidRDefault="00FF3183" w:rsidP="00D81C66">
    <w:pPr>
      <w:pStyle w:val="Kopfzeile"/>
    </w:pPr>
  </w:p>
  <w:p w14:paraId="2BB018B1" w14:textId="77777777" w:rsidR="00FF3183" w:rsidRDefault="00FF31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E05"/>
    <w:multiLevelType w:val="hybridMultilevel"/>
    <w:tmpl w:val="CE9A693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0E17050"/>
    <w:multiLevelType w:val="hybridMultilevel"/>
    <w:tmpl w:val="D9AE7132"/>
    <w:lvl w:ilvl="0" w:tplc="0C070017">
      <w:start w:val="1"/>
      <w:numFmt w:val="lowerLetter"/>
      <w:lvlText w:val="%1)"/>
      <w:lvlJc w:val="left"/>
      <w:pPr>
        <w:ind w:left="1440" w:hanging="360"/>
      </w:pPr>
      <w:rPr>
        <w:rFonts w:hint="default"/>
      </w:rPr>
    </w:lvl>
    <w:lvl w:ilvl="1" w:tplc="0C070019">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15:restartNumberingAfterBreak="0">
    <w:nsid w:val="05345B0F"/>
    <w:multiLevelType w:val="hybridMultilevel"/>
    <w:tmpl w:val="C53AC1A2"/>
    <w:lvl w:ilvl="0" w:tplc="0C07000F">
      <w:start w:val="1"/>
      <w:numFmt w:val="decimal"/>
      <w:lvlText w:val="%1."/>
      <w:lvlJc w:val="left"/>
      <w:pPr>
        <w:ind w:left="2160" w:hanging="360"/>
      </w:pPr>
      <w:rPr>
        <w:rFont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B9D4351"/>
    <w:multiLevelType w:val="hybridMultilevel"/>
    <w:tmpl w:val="AC7ECE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182276"/>
    <w:multiLevelType w:val="multilevel"/>
    <w:tmpl w:val="33721116"/>
    <w:numStyleLink w:val="OrderedList"/>
  </w:abstractNum>
  <w:abstractNum w:abstractNumId="8"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8D4602"/>
    <w:multiLevelType w:val="hybridMultilevel"/>
    <w:tmpl w:val="1EEA7B0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653049C"/>
    <w:multiLevelType w:val="hybridMultilevel"/>
    <w:tmpl w:val="22AA5D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9F0F19"/>
    <w:multiLevelType w:val="multilevel"/>
    <w:tmpl w:val="E2F206B6"/>
    <w:numStyleLink w:val="UnorderedList"/>
  </w:abstractNum>
  <w:abstractNum w:abstractNumId="14" w15:restartNumberingAfterBreak="0">
    <w:nsid w:val="2D833268"/>
    <w:multiLevelType w:val="hybridMultilevel"/>
    <w:tmpl w:val="0F207D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6B024E"/>
    <w:multiLevelType w:val="hybridMultilevel"/>
    <w:tmpl w:val="87C64C0C"/>
    <w:lvl w:ilvl="0" w:tplc="8AE025A4">
      <w:start w:val="2"/>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47B237D9"/>
    <w:multiLevelType w:val="hybridMultilevel"/>
    <w:tmpl w:val="6152FBE8"/>
    <w:lvl w:ilvl="0" w:tplc="7248D756">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9CC336F"/>
    <w:multiLevelType w:val="hybridMultilevel"/>
    <w:tmpl w:val="D892E302"/>
    <w:lvl w:ilvl="0" w:tplc="ECF8720C">
      <w:numFmt w:val="bullet"/>
      <w:lvlText w:val=""/>
      <w:lvlJc w:val="left"/>
      <w:pPr>
        <w:ind w:left="720" w:hanging="360"/>
      </w:pPr>
      <w:rPr>
        <w:rFonts w:ascii="Wingdings" w:eastAsiaTheme="minorHAnsi" w:hAnsi="Wingdings" w:cs="Times New Roman (Textkörper C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5CF14634"/>
    <w:multiLevelType w:val="hybridMultilevel"/>
    <w:tmpl w:val="D5FA6D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9F701F"/>
    <w:multiLevelType w:val="multilevel"/>
    <w:tmpl w:val="33721116"/>
    <w:numStyleLink w:val="OrderedList"/>
  </w:abstractNum>
  <w:abstractNum w:abstractNumId="2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AD51CD"/>
    <w:multiLevelType w:val="multilevel"/>
    <w:tmpl w:val="E2F206B6"/>
    <w:numStyleLink w:val="UnorderedList"/>
  </w:abstractNum>
  <w:abstractNum w:abstractNumId="27" w15:restartNumberingAfterBreak="0">
    <w:nsid w:val="79076387"/>
    <w:multiLevelType w:val="multilevel"/>
    <w:tmpl w:val="50623BE8"/>
    <w:lvl w:ilvl="0">
      <w:numFmt w:val="decimal"/>
      <w:isLgl/>
      <w:lvlText w:val="§ %1"/>
      <w:lvlJc w:val="left"/>
      <w:pPr>
        <w:ind w:left="0"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1702" w:hanging="851"/>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57" w:hanging="1008"/>
      </w:pPr>
      <w:rPr>
        <w:rFonts w:hint="default"/>
      </w:rPr>
    </w:lvl>
    <w:lvl w:ilvl="5">
      <w:start w:val="1"/>
      <w:numFmt w:val="decimal"/>
      <w:lvlText w:val="%1.%2.%3.%4.%5.%6"/>
      <w:lvlJc w:val="left"/>
      <w:pPr>
        <w:ind w:left="301" w:hanging="1152"/>
      </w:pPr>
      <w:rPr>
        <w:rFonts w:hint="default"/>
      </w:rPr>
    </w:lvl>
    <w:lvl w:ilvl="6">
      <w:start w:val="1"/>
      <w:numFmt w:val="decimal"/>
      <w:lvlText w:val="%1.%2.%3.%4.%5.%6.%7"/>
      <w:lvlJc w:val="left"/>
      <w:pPr>
        <w:ind w:left="445" w:hanging="1296"/>
      </w:pPr>
      <w:rPr>
        <w:rFonts w:hint="default"/>
      </w:rPr>
    </w:lvl>
    <w:lvl w:ilvl="7">
      <w:start w:val="1"/>
      <w:numFmt w:val="decimal"/>
      <w:lvlText w:val="%1.%2.%3.%4.%5.%6.%7.%8"/>
      <w:lvlJc w:val="left"/>
      <w:pPr>
        <w:ind w:left="589" w:hanging="1440"/>
      </w:pPr>
      <w:rPr>
        <w:rFonts w:hint="default"/>
      </w:rPr>
    </w:lvl>
    <w:lvl w:ilvl="8">
      <w:start w:val="1"/>
      <w:numFmt w:val="decimal"/>
      <w:lvlText w:val="%1.%2.%3.%4.%5.%6.%7.%8.%9"/>
      <w:lvlJc w:val="left"/>
      <w:pPr>
        <w:ind w:left="733" w:hanging="1584"/>
      </w:pPr>
      <w:rPr>
        <w:rFonts w:hint="default"/>
      </w:rPr>
    </w:lvl>
  </w:abstractNum>
  <w:abstractNum w:abstractNumId="28" w15:restartNumberingAfterBreak="0">
    <w:nsid w:val="7A23601D"/>
    <w:multiLevelType w:val="hybridMultilevel"/>
    <w:tmpl w:val="06AC5540"/>
    <w:lvl w:ilvl="0" w:tplc="DE0038A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B8739B6"/>
    <w:multiLevelType w:val="multilevel"/>
    <w:tmpl w:val="E2F206B6"/>
    <w:numStyleLink w:val="UnorderedList"/>
  </w:abstractNum>
  <w:abstractNum w:abstractNumId="3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2"/>
  </w:num>
  <w:num w:numId="3">
    <w:abstractNumId w:val="15"/>
  </w:num>
  <w:num w:numId="4">
    <w:abstractNumId w:val="22"/>
  </w:num>
  <w:num w:numId="5">
    <w:abstractNumId w:val="9"/>
  </w:num>
  <w:num w:numId="6">
    <w:abstractNumId w:val="3"/>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5"/>
  </w:num>
  <w:num w:numId="11">
    <w:abstractNumId w:val="6"/>
  </w:num>
  <w:num w:numId="12">
    <w:abstractNumId w:val="26"/>
  </w:num>
  <w:num w:numId="13">
    <w:abstractNumId w:val="5"/>
  </w:num>
  <w:num w:numId="14">
    <w:abstractNumId w:val="29"/>
  </w:num>
  <w:num w:numId="15">
    <w:abstractNumId w:val="13"/>
  </w:num>
  <w:num w:numId="16">
    <w:abstractNumId w:val="16"/>
  </w:num>
  <w:num w:numId="17">
    <w:abstractNumId w:val="21"/>
  </w:num>
  <w:num w:numId="18">
    <w:abstractNumId w:val="7"/>
  </w:num>
  <w:num w:numId="19">
    <w:abstractNumId w:val="8"/>
    <w:lvlOverride w:ilvl="1">
      <w:lvl w:ilvl="1">
        <w:start w:val="1"/>
        <w:numFmt w:val="decimal"/>
        <w:pStyle w:val="berschrift2"/>
        <w:lvlText w:val="%1.%2"/>
        <w:lvlJc w:val="left"/>
        <w:pPr>
          <w:ind w:left="7938" w:firstLine="0"/>
        </w:pPr>
        <w:rPr>
          <w:rFonts w:hint="default"/>
        </w:rPr>
      </w:lvl>
    </w:lvlOverride>
  </w:num>
  <w:num w:numId="20">
    <w:abstractNumId w:val="27"/>
  </w:num>
  <w:num w:numId="21">
    <w:abstractNumId w:val="27"/>
    <w:lvlOverride w:ilvl="0">
      <w:startOverride w:val="1"/>
    </w:lvlOverride>
    <w:lvlOverride w:ilvl="1"/>
  </w:num>
  <w:num w:numId="22">
    <w:abstractNumId w:val="27"/>
    <w:lvlOverride w:ilvl="0">
      <w:startOverride w:val="1"/>
    </w:lvlOverride>
    <w:lvlOverride w:ilvl="1"/>
  </w:num>
  <w:num w:numId="23">
    <w:abstractNumId w:val="18"/>
  </w:num>
  <w:num w:numId="24">
    <w:abstractNumId w:val="1"/>
  </w:num>
  <w:num w:numId="25">
    <w:abstractNumId w:val="2"/>
  </w:num>
  <w:num w:numId="26">
    <w:abstractNumId w:val="28"/>
  </w:num>
  <w:num w:numId="27">
    <w:abstractNumId w:val="27"/>
    <w:lvlOverride w:ilvl="0">
      <w:startOverride w:val="1"/>
    </w:lvlOverride>
    <w:lvlOverride w:ilvl="1"/>
  </w:num>
  <w:num w:numId="2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1">
      <w:lvl w:ilvl="1">
        <w:start w:val="1"/>
        <w:numFmt w:val="decimal"/>
        <w:pStyle w:val="berschrift2"/>
        <w:lvlText w:val="%1.%2"/>
        <w:lvlJc w:val="left"/>
        <w:pPr>
          <w:ind w:left="7938" w:firstLine="0"/>
        </w:pPr>
        <w:rPr>
          <w:rFonts w:hint="default"/>
        </w:rPr>
      </w:lvl>
    </w:lvlOverride>
  </w:num>
  <w:num w:numId="30">
    <w:abstractNumId w:val="8"/>
    <w:lvlOverride w:ilvl="1">
      <w:lvl w:ilvl="1">
        <w:start w:val="1"/>
        <w:numFmt w:val="decimal"/>
        <w:pStyle w:val="berschrift2"/>
        <w:lvlText w:val="%1.%2"/>
        <w:lvlJc w:val="left"/>
        <w:pPr>
          <w:ind w:left="7938" w:firstLine="0"/>
        </w:pPr>
        <w:rPr>
          <w:rFonts w:hint="default"/>
        </w:rPr>
      </w:lvl>
    </w:lvlOverride>
  </w:num>
  <w:num w:numId="31">
    <w:abstractNumId w:val="14"/>
  </w:num>
  <w:num w:numId="32">
    <w:abstractNumId w:val="10"/>
  </w:num>
  <w:num w:numId="33">
    <w:abstractNumId w:val="0"/>
  </w:num>
  <w:num w:numId="34">
    <w:abstractNumId w:val="4"/>
  </w:num>
  <w:num w:numId="35">
    <w:abstractNumId w:val="11"/>
  </w:num>
  <w:num w:numId="36">
    <w:abstractNumId w:val="4"/>
  </w:num>
  <w:num w:numId="37">
    <w:abstractNumId w:val="17"/>
  </w:num>
  <w:num w:numId="38">
    <w:abstractNumId w:val="19"/>
  </w:num>
  <w:num w:numId="39">
    <w:abstractNumId w:val="2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4468"/>
    <w:rsid w:val="00017DE1"/>
    <w:rsid w:val="0005613B"/>
    <w:rsid w:val="000574D1"/>
    <w:rsid w:val="00057B8A"/>
    <w:rsid w:val="0009495D"/>
    <w:rsid w:val="00096848"/>
    <w:rsid w:val="000A143D"/>
    <w:rsid w:val="000B1224"/>
    <w:rsid w:val="000B7813"/>
    <w:rsid w:val="000C5480"/>
    <w:rsid w:val="000E47B3"/>
    <w:rsid w:val="000E6321"/>
    <w:rsid w:val="000E71F9"/>
    <w:rsid w:val="00100262"/>
    <w:rsid w:val="00102354"/>
    <w:rsid w:val="001218A1"/>
    <w:rsid w:val="0012348D"/>
    <w:rsid w:val="001245F3"/>
    <w:rsid w:val="00130875"/>
    <w:rsid w:val="00135800"/>
    <w:rsid w:val="00142079"/>
    <w:rsid w:val="00145314"/>
    <w:rsid w:val="00145613"/>
    <w:rsid w:val="00146318"/>
    <w:rsid w:val="0015017E"/>
    <w:rsid w:val="00161853"/>
    <w:rsid w:val="001619DE"/>
    <w:rsid w:val="00177D60"/>
    <w:rsid w:val="001805EF"/>
    <w:rsid w:val="00190476"/>
    <w:rsid w:val="00197456"/>
    <w:rsid w:val="001A3753"/>
    <w:rsid w:val="001A3E5C"/>
    <w:rsid w:val="001D16F3"/>
    <w:rsid w:val="001D7D25"/>
    <w:rsid w:val="001F4C6A"/>
    <w:rsid w:val="00201E85"/>
    <w:rsid w:val="00210B4F"/>
    <w:rsid w:val="002119A8"/>
    <w:rsid w:val="00226440"/>
    <w:rsid w:val="00234606"/>
    <w:rsid w:val="002352D1"/>
    <w:rsid w:val="00242C79"/>
    <w:rsid w:val="0025192A"/>
    <w:rsid w:val="00252C32"/>
    <w:rsid w:val="00267CA3"/>
    <w:rsid w:val="002839E7"/>
    <w:rsid w:val="002A3463"/>
    <w:rsid w:val="002B1595"/>
    <w:rsid w:val="002B3932"/>
    <w:rsid w:val="002B45B6"/>
    <w:rsid w:val="002E664D"/>
    <w:rsid w:val="002F6D1E"/>
    <w:rsid w:val="00307584"/>
    <w:rsid w:val="0031043A"/>
    <w:rsid w:val="00315A58"/>
    <w:rsid w:val="003304AF"/>
    <w:rsid w:val="003309AF"/>
    <w:rsid w:val="00344330"/>
    <w:rsid w:val="00346AEF"/>
    <w:rsid w:val="003502A1"/>
    <w:rsid w:val="00352DE9"/>
    <w:rsid w:val="00352ECB"/>
    <w:rsid w:val="003566AE"/>
    <w:rsid w:val="00391215"/>
    <w:rsid w:val="0039485B"/>
    <w:rsid w:val="003A62D3"/>
    <w:rsid w:val="003A7D6A"/>
    <w:rsid w:val="003B2E52"/>
    <w:rsid w:val="003C4569"/>
    <w:rsid w:val="003C4635"/>
    <w:rsid w:val="003C4C4F"/>
    <w:rsid w:val="003C571C"/>
    <w:rsid w:val="003D0007"/>
    <w:rsid w:val="003D0F80"/>
    <w:rsid w:val="003D4B6F"/>
    <w:rsid w:val="003E62CF"/>
    <w:rsid w:val="003F5852"/>
    <w:rsid w:val="004002D2"/>
    <w:rsid w:val="00405DF6"/>
    <w:rsid w:val="004103B0"/>
    <w:rsid w:val="00411D4F"/>
    <w:rsid w:val="004240BD"/>
    <w:rsid w:val="00426AA6"/>
    <w:rsid w:val="00432429"/>
    <w:rsid w:val="00441F64"/>
    <w:rsid w:val="00446C2D"/>
    <w:rsid w:val="004510ED"/>
    <w:rsid w:val="00452C4E"/>
    <w:rsid w:val="0045517C"/>
    <w:rsid w:val="00462721"/>
    <w:rsid w:val="00474230"/>
    <w:rsid w:val="00492FDF"/>
    <w:rsid w:val="004A0F27"/>
    <w:rsid w:val="004B45E3"/>
    <w:rsid w:val="004B523C"/>
    <w:rsid w:val="004C5C6A"/>
    <w:rsid w:val="005010EE"/>
    <w:rsid w:val="0050251F"/>
    <w:rsid w:val="00511707"/>
    <w:rsid w:val="00515AE4"/>
    <w:rsid w:val="00516926"/>
    <w:rsid w:val="0052701E"/>
    <w:rsid w:val="00527499"/>
    <w:rsid w:val="00527C3D"/>
    <w:rsid w:val="005305EC"/>
    <w:rsid w:val="00550BEB"/>
    <w:rsid w:val="00571E81"/>
    <w:rsid w:val="005805E2"/>
    <w:rsid w:val="005866F4"/>
    <w:rsid w:val="00590DC7"/>
    <w:rsid w:val="00590EAC"/>
    <w:rsid w:val="005A3584"/>
    <w:rsid w:val="005A5756"/>
    <w:rsid w:val="005A74A1"/>
    <w:rsid w:val="005B2D1B"/>
    <w:rsid w:val="005B6AA0"/>
    <w:rsid w:val="005C1BDE"/>
    <w:rsid w:val="005D1CFD"/>
    <w:rsid w:val="005D34DC"/>
    <w:rsid w:val="005D4590"/>
    <w:rsid w:val="005E045F"/>
    <w:rsid w:val="005E30E0"/>
    <w:rsid w:val="005F1433"/>
    <w:rsid w:val="005F7059"/>
    <w:rsid w:val="00614BD3"/>
    <w:rsid w:val="006151DA"/>
    <w:rsid w:val="00623051"/>
    <w:rsid w:val="006266F7"/>
    <w:rsid w:val="00633347"/>
    <w:rsid w:val="0064171F"/>
    <w:rsid w:val="00644FF9"/>
    <w:rsid w:val="00661238"/>
    <w:rsid w:val="006651B7"/>
    <w:rsid w:val="006753CF"/>
    <w:rsid w:val="006820B6"/>
    <w:rsid w:val="00691F49"/>
    <w:rsid w:val="006A07EB"/>
    <w:rsid w:val="006A32F0"/>
    <w:rsid w:val="006A3BFC"/>
    <w:rsid w:val="006C2DA3"/>
    <w:rsid w:val="006C35F1"/>
    <w:rsid w:val="006C41DE"/>
    <w:rsid w:val="006C63E6"/>
    <w:rsid w:val="006D315F"/>
    <w:rsid w:val="006E21C7"/>
    <w:rsid w:val="006E520F"/>
    <w:rsid w:val="006F3AA5"/>
    <w:rsid w:val="007037AE"/>
    <w:rsid w:val="00703E1B"/>
    <w:rsid w:val="007129C9"/>
    <w:rsid w:val="00725C64"/>
    <w:rsid w:val="0072770D"/>
    <w:rsid w:val="00727F4C"/>
    <w:rsid w:val="00736E0A"/>
    <w:rsid w:val="00744B0B"/>
    <w:rsid w:val="0075767C"/>
    <w:rsid w:val="007750EE"/>
    <w:rsid w:val="00777D38"/>
    <w:rsid w:val="00780BFD"/>
    <w:rsid w:val="0078284C"/>
    <w:rsid w:val="00787822"/>
    <w:rsid w:val="007B0055"/>
    <w:rsid w:val="007B418F"/>
    <w:rsid w:val="007B66D9"/>
    <w:rsid w:val="007B6D9C"/>
    <w:rsid w:val="007C4807"/>
    <w:rsid w:val="007E17AB"/>
    <w:rsid w:val="007F09B5"/>
    <w:rsid w:val="007F2BA1"/>
    <w:rsid w:val="00804484"/>
    <w:rsid w:val="008121CA"/>
    <w:rsid w:val="00815C5A"/>
    <w:rsid w:val="00821DC4"/>
    <w:rsid w:val="008270CC"/>
    <w:rsid w:val="008332AE"/>
    <w:rsid w:val="00834527"/>
    <w:rsid w:val="00835DC2"/>
    <w:rsid w:val="00844B7C"/>
    <w:rsid w:val="00847AB6"/>
    <w:rsid w:val="0085061D"/>
    <w:rsid w:val="00883D56"/>
    <w:rsid w:val="008A4B50"/>
    <w:rsid w:val="008C1C93"/>
    <w:rsid w:val="008C4169"/>
    <w:rsid w:val="008C790A"/>
    <w:rsid w:val="008E37B7"/>
    <w:rsid w:val="008E6503"/>
    <w:rsid w:val="008F64A7"/>
    <w:rsid w:val="008F6879"/>
    <w:rsid w:val="00913A6A"/>
    <w:rsid w:val="009245B1"/>
    <w:rsid w:val="00992B3B"/>
    <w:rsid w:val="009A37EC"/>
    <w:rsid w:val="009A404F"/>
    <w:rsid w:val="009A771D"/>
    <w:rsid w:val="009B25BB"/>
    <w:rsid w:val="009B6FB7"/>
    <w:rsid w:val="009C625D"/>
    <w:rsid w:val="009C7C18"/>
    <w:rsid w:val="009E0F0E"/>
    <w:rsid w:val="009F359B"/>
    <w:rsid w:val="009F5E38"/>
    <w:rsid w:val="00A059EB"/>
    <w:rsid w:val="00A12133"/>
    <w:rsid w:val="00A210CD"/>
    <w:rsid w:val="00A212A9"/>
    <w:rsid w:val="00A23367"/>
    <w:rsid w:val="00A255E6"/>
    <w:rsid w:val="00A3347C"/>
    <w:rsid w:val="00A33B1E"/>
    <w:rsid w:val="00A52698"/>
    <w:rsid w:val="00A61CF6"/>
    <w:rsid w:val="00A6410C"/>
    <w:rsid w:val="00A66701"/>
    <w:rsid w:val="00A70F5D"/>
    <w:rsid w:val="00A824F4"/>
    <w:rsid w:val="00A90564"/>
    <w:rsid w:val="00A938FD"/>
    <w:rsid w:val="00AA073A"/>
    <w:rsid w:val="00AA3807"/>
    <w:rsid w:val="00AD12FA"/>
    <w:rsid w:val="00AD4BAA"/>
    <w:rsid w:val="00AF4171"/>
    <w:rsid w:val="00B052BE"/>
    <w:rsid w:val="00B062A6"/>
    <w:rsid w:val="00B14939"/>
    <w:rsid w:val="00B16A3C"/>
    <w:rsid w:val="00B43062"/>
    <w:rsid w:val="00B502C4"/>
    <w:rsid w:val="00B53608"/>
    <w:rsid w:val="00B564E2"/>
    <w:rsid w:val="00B679D1"/>
    <w:rsid w:val="00B71443"/>
    <w:rsid w:val="00B773B8"/>
    <w:rsid w:val="00B963C1"/>
    <w:rsid w:val="00B968BE"/>
    <w:rsid w:val="00BA70DF"/>
    <w:rsid w:val="00BC4147"/>
    <w:rsid w:val="00BF047C"/>
    <w:rsid w:val="00BF04C5"/>
    <w:rsid w:val="00BF06DB"/>
    <w:rsid w:val="00C104B3"/>
    <w:rsid w:val="00C12BFB"/>
    <w:rsid w:val="00C17C17"/>
    <w:rsid w:val="00C31F63"/>
    <w:rsid w:val="00C367AE"/>
    <w:rsid w:val="00C528CE"/>
    <w:rsid w:val="00C6737F"/>
    <w:rsid w:val="00C75207"/>
    <w:rsid w:val="00C93332"/>
    <w:rsid w:val="00CA3C32"/>
    <w:rsid w:val="00CA7D4F"/>
    <w:rsid w:val="00CB6273"/>
    <w:rsid w:val="00CC2B16"/>
    <w:rsid w:val="00CC3501"/>
    <w:rsid w:val="00CD3C71"/>
    <w:rsid w:val="00CD6DB2"/>
    <w:rsid w:val="00CE1F7F"/>
    <w:rsid w:val="00CE5ED9"/>
    <w:rsid w:val="00CF29B3"/>
    <w:rsid w:val="00CF7AF9"/>
    <w:rsid w:val="00D0279B"/>
    <w:rsid w:val="00D05580"/>
    <w:rsid w:val="00D06017"/>
    <w:rsid w:val="00D32411"/>
    <w:rsid w:val="00D336DD"/>
    <w:rsid w:val="00D37EC4"/>
    <w:rsid w:val="00D45DFE"/>
    <w:rsid w:val="00D47BFC"/>
    <w:rsid w:val="00D535AD"/>
    <w:rsid w:val="00D60479"/>
    <w:rsid w:val="00D65034"/>
    <w:rsid w:val="00D714E5"/>
    <w:rsid w:val="00D81C66"/>
    <w:rsid w:val="00D81DBF"/>
    <w:rsid w:val="00D82A06"/>
    <w:rsid w:val="00DA2E8E"/>
    <w:rsid w:val="00DA7A3C"/>
    <w:rsid w:val="00DB1710"/>
    <w:rsid w:val="00DB5A52"/>
    <w:rsid w:val="00DB6505"/>
    <w:rsid w:val="00DC06A0"/>
    <w:rsid w:val="00DD1149"/>
    <w:rsid w:val="00DD285D"/>
    <w:rsid w:val="00DD6641"/>
    <w:rsid w:val="00DF0E00"/>
    <w:rsid w:val="00DF2BBD"/>
    <w:rsid w:val="00DF6A0E"/>
    <w:rsid w:val="00DF7219"/>
    <w:rsid w:val="00E153FA"/>
    <w:rsid w:val="00E16AFD"/>
    <w:rsid w:val="00E2064E"/>
    <w:rsid w:val="00E20822"/>
    <w:rsid w:val="00E62663"/>
    <w:rsid w:val="00E65D6B"/>
    <w:rsid w:val="00E70DDA"/>
    <w:rsid w:val="00E7655E"/>
    <w:rsid w:val="00E828B5"/>
    <w:rsid w:val="00EA5A87"/>
    <w:rsid w:val="00EA5E4D"/>
    <w:rsid w:val="00EB48E1"/>
    <w:rsid w:val="00EE1E65"/>
    <w:rsid w:val="00EE5D35"/>
    <w:rsid w:val="00EF5CD9"/>
    <w:rsid w:val="00F03367"/>
    <w:rsid w:val="00F170D7"/>
    <w:rsid w:val="00F24C97"/>
    <w:rsid w:val="00F30BD7"/>
    <w:rsid w:val="00F33C1A"/>
    <w:rsid w:val="00F3420E"/>
    <w:rsid w:val="00F63169"/>
    <w:rsid w:val="00F63D13"/>
    <w:rsid w:val="00F65C89"/>
    <w:rsid w:val="00F73CCF"/>
    <w:rsid w:val="00F942B6"/>
    <w:rsid w:val="00FA0C7C"/>
    <w:rsid w:val="00FA254B"/>
    <w:rsid w:val="00FA34C3"/>
    <w:rsid w:val="00FA4A00"/>
    <w:rsid w:val="00FC042B"/>
    <w:rsid w:val="00FC3DBA"/>
    <w:rsid w:val="00FD38A4"/>
    <w:rsid w:val="00FD4239"/>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C9EA44E"/>
  <w15:chartTrackingRefBased/>
  <w15:docId w15:val="{1F680ACF-9DC8-4D64-AD71-03056DD5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qFormat/>
    <w:rsid w:val="00EA5E4D"/>
    <w:pPr>
      <w:numPr>
        <w:ilvl w:val="4"/>
      </w:numPr>
      <w:spacing w:before="40"/>
      <w:outlineLvl w:val="4"/>
    </w:pPr>
    <w:rPr>
      <w:rFonts w:cstheme="majorBidi"/>
    </w:rPr>
  </w:style>
  <w:style w:type="paragraph" w:styleId="berschrift6">
    <w:name w:val="heading 6"/>
    <w:basedOn w:val="Standard"/>
    <w:next w:val="Standard"/>
    <w:link w:val="berschrift6Zchn"/>
    <w:uiPriority w:val="9"/>
    <w:semiHidden/>
    <w:unhideWhenUsed/>
    <w:qFormat/>
    <w:rsid w:val="000B7813"/>
    <w:pPr>
      <w:keepNext/>
      <w:keepLines/>
      <w:spacing w:before="40" w:after="0"/>
      <w:ind w:left="301" w:hanging="1152"/>
      <w:outlineLvl w:val="5"/>
    </w:pPr>
    <w:rPr>
      <w:rFonts w:asciiTheme="majorHAnsi" w:eastAsiaTheme="majorEastAsia" w:hAnsiTheme="majorHAnsi" w:cstheme="majorBidi"/>
      <w:color w:val="700116" w:themeColor="accent1" w:themeShade="7F"/>
      <w:spacing w:val="0"/>
    </w:rPr>
  </w:style>
  <w:style w:type="paragraph" w:styleId="berschrift7">
    <w:name w:val="heading 7"/>
    <w:basedOn w:val="Standard"/>
    <w:next w:val="Standard"/>
    <w:link w:val="berschrift7Zchn"/>
    <w:uiPriority w:val="9"/>
    <w:semiHidden/>
    <w:unhideWhenUsed/>
    <w:qFormat/>
    <w:rsid w:val="000B7813"/>
    <w:pPr>
      <w:keepNext/>
      <w:keepLines/>
      <w:spacing w:before="40" w:after="0"/>
      <w:ind w:left="445" w:hanging="1296"/>
      <w:outlineLvl w:val="6"/>
    </w:pPr>
    <w:rPr>
      <w:rFonts w:asciiTheme="majorHAnsi" w:eastAsiaTheme="majorEastAsia" w:hAnsiTheme="majorHAnsi" w:cstheme="majorBidi"/>
      <w:i/>
      <w:iCs/>
      <w:color w:val="700116" w:themeColor="accent1" w:themeShade="7F"/>
      <w:spacing w:val="0"/>
    </w:rPr>
  </w:style>
  <w:style w:type="paragraph" w:styleId="berschrift8">
    <w:name w:val="heading 8"/>
    <w:basedOn w:val="Standard"/>
    <w:next w:val="Standard"/>
    <w:link w:val="berschrift8Zchn"/>
    <w:uiPriority w:val="9"/>
    <w:semiHidden/>
    <w:unhideWhenUsed/>
    <w:qFormat/>
    <w:rsid w:val="000B7813"/>
    <w:pPr>
      <w:keepNext/>
      <w:keepLines/>
      <w:spacing w:before="40" w:after="0"/>
      <w:ind w:left="589" w:hanging="1440"/>
      <w:outlineLvl w:val="7"/>
    </w:pPr>
    <w:rPr>
      <w:rFonts w:asciiTheme="majorHAnsi" w:eastAsiaTheme="majorEastAsia" w:hAnsiTheme="majorHAnsi" w:cstheme="majorBidi"/>
      <w:color w:val="272727" w:themeColor="text1" w:themeTint="D8"/>
      <w:spacing w:val="0"/>
      <w:sz w:val="21"/>
      <w:szCs w:val="21"/>
    </w:rPr>
  </w:style>
  <w:style w:type="paragraph" w:styleId="berschrift9">
    <w:name w:val="heading 9"/>
    <w:basedOn w:val="Standard"/>
    <w:next w:val="Standard"/>
    <w:link w:val="berschrift9Zchn"/>
    <w:uiPriority w:val="9"/>
    <w:semiHidden/>
    <w:unhideWhenUsed/>
    <w:qFormat/>
    <w:rsid w:val="000B7813"/>
    <w:pPr>
      <w:keepNext/>
      <w:keepLines/>
      <w:spacing w:before="40" w:after="0"/>
      <w:ind w:left="733" w:hanging="1584"/>
      <w:outlineLvl w:val="8"/>
    </w:pPr>
    <w:rPr>
      <w:rFonts w:asciiTheme="majorHAnsi" w:eastAsiaTheme="majorEastAsia" w:hAnsiTheme="majorHAnsi" w:cstheme="majorBidi"/>
      <w:i/>
      <w:iCs/>
      <w:color w:val="272727" w:themeColor="text1" w:themeTint="D8"/>
      <w:spacing w:val="0"/>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qFormat/>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link w:val="ListenabsatzZchn"/>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customStyle="1" w:styleId="berschriftCover">
    <w:name w:val="Überschrift Cover"/>
    <w:basedOn w:val="Standard"/>
    <w:qFormat/>
    <w:rsid w:val="00344330"/>
    <w:pPr>
      <w:spacing w:after="280" w:line="240" w:lineRule="auto"/>
    </w:pPr>
    <w:rPr>
      <w:b/>
      <w:caps/>
      <w:spacing w:val="0"/>
      <w:sz w:val="40"/>
    </w:rPr>
  </w:style>
  <w:style w:type="character" w:customStyle="1" w:styleId="berschrift6Zchn">
    <w:name w:val="Überschrift 6 Zchn"/>
    <w:basedOn w:val="Absatz-Standardschriftart"/>
    <w:link w:val="berschrift6"/>
    <w:uiPriority w:val="9"/>
    <w:semiHidden/>
    <w:rsid w:val="000B7813"/>
    <w:rPr>
      <w:rFonts w:asciiTheme="majorHAnsi" w:eastAsiaTheme="majorEastAsia" w:hAnsiTheme="majorHAnsi" w:cstheme="majorBidi"/>
      <w:color w:val="700116" w:themeColor="accent1" w:themeShade="7F"/>
      <w:sz w:val="22"/>
    </w:rPr>
  </w:style>
  <w:style w:type="character" w:customStyle="1" w:styleId="berschrift7Zchn">
    <w:name w:val="Überschrift 7 Zchn"/>
    <w:basedOn w:val="Absatz-Standardschriftart"/>
    <w:link w:val="berschrift7"/>
    <w:uiPriority w:val="9"/>
    <w:semiHidden/>
    <w:rsid w:val="000B7813"/>
    <w:rPr>
      <w:rFonts w:asciiTheme="majorHAnsi" w:eastAsiaTheme="majorEastAsia" w:hAnsiTheme="majorHAnsi" w:cstheme="majorBidi"/>
      <w:i/>
      <w:iCs/>
      <w:color w:val="700116" w:themeColor="accent1" w:themeShade="7F"/>
      <w:sz w:val="22"/>
    </w:rPr>
  </w:style>
  <w:style w:type="character" w:customStyle="1" w:styleId="berschrift8Zchn">
    <w:name w:val="Überschrift 8 Zchn"/>
    <w:basedOn w:val="Absatz-Standardschriftart"/>
    <w:link w:val="berschrift8"/>
    <w:uiPriority w:val="9"/>
    <w:semiHidden/>
    <w:rsid w:val="000B78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B7813"/>
    <w:rPr>
      <w:rFonts w:asciiTheme="majorHAnsi" w:eastAsiaTheme="majorEastAsia" w:hAnsiTheme="majorHAnsi" w:cstheme="majorBidi"/>
      <w:i/>
      <w:iCs/>
      <w:color w:val="272727" w:themeColor="text1" w:themeTint="D8"/>
      <w:sz w:val="21"/>
      <w:szCs w:val="21"/>
    </w:rPr>
  </w:style>
  <w:style w:type="paragraph" w:styleId="Kommentartext">
    <w:name w:val="annotation text"/>
    <w:basedOn w:val="Standard"/>
    <w:link w:val="KommentartextZchn"/>
    <w:unhideWhenUsed/>
    <w:rsid w:val="000B7813"/>
    <w:pPr>
      <w:spacing w:after="240" w:line="240" w:lineRule="auto"/>
    </w:pPr>
    <w:rPr>
      <w:spacing w:val="0"/>
      <w:sz w:val="20"/>
      <w:szCs w:val="20"/>
    </w:rPr>
  </w:style>
  <w:style w:type="character" w:customStyle="1" w:styleId="KommentartextZchn">
    <w:name w:val="Kommentartext Zchn"/>
    <w:basedOn w:val="Absatz-Standardschriftart"/>
    <w:link w:val="Kommentartext"/>
    <w:rsid w:val="000B7813"/>
    <w:rPr>
      <w:rFonts w:cs="Times New Roman (Textkörper CS)"/>
      <w:color w:val="000000" w:themeColor="text1"/>
      <w:sz w:val="20"/>
      <w:szCs w:val="20"/>
    </w:rPr>
  </w:style>
  <w:style w:type="character" w:styleId="Kommentarzeichen">
    <w:name w:val="annotation reference"/>
    <w:semiHidden/>
    <w:rsid w:val="000B7813"/>
    <w:rPr>
      <w:sz w:val="16"/>
      <w:szCs w:val="16"/>
    </w:rPr>
  </w:style>
  <w:style w:type="paragraph" w:customStyle="1" w:styleId="Formatvorlage2">
    <w:name w:val="Formatvorlage2"/>
    <w:basedOn w:val="Standard"/>
    <w:qFormat/>
    <w:rsid w:val="000B7813"/>
    <w:pPr>
      <w:keepNext/>
      <w:spacing w:after="240"/>
      <w:ind w:left="851"/>
    </w:pPr>
    <w:rPr>
      <w:b/>
      <w:spacing w:val="0"/>
      <w:lang w:val="de-DE"/>
    </w:rPr>
  </w:style>
  <w:style w:type="paragraph" w:styleId="Kommentarthema">
    <w:name w:val="annotation subject"/>
    <w:basedOn w:val="Kommentartext"/>
    <w:next w:val="Kommentartext"/>
    <w:link w:val="KommentarthemaZchn"/>
    <w:uiPriority w:val="99"/>
    <w:semiHidden/>
    <w:unhideWhenUsed/>
    <w:rsid w:val="003D0F80"/>
    <w:pPr>
      <w:spacing w:after="220"/>
    </w:pPr>
    <w:rPr>
      <w:b/>
      <w:bCs/>
      <w:spacing w:val="4"/>
    </w:rPr>
  </w:style>
  <w:style w:type="character" w:customStyle="1" w:styleId="KommentarthemaZchn">
    <w:name w:val="Kommentarthema Zchn"/>
    <w:basedOn w:val="KommentartextZchn"/>
    <w:link w:val="Kommentarthema"/>
    <w:uiPriority w:val="99"/>
    <w:semiHidden/>
    <w:rsid w:val="003D0F80"/>
    <w:rPr>
      <w:rFonts w:cs="Times New Roman (Textkörper CS)"/>
      <w:b/>
      <w:bCs/>
      <w:color w:val="000000" w:themeColor="text1"/>
      <w:spacing w:val="4"/>
      <w:sz w:val="20"/>
      <w:szCs w:val="20"/>
    </w:rPr>
  </w:style>
  <w:style w:type="character" w:styleId="Platzhaltertext">
    <w:name w:val="Placeholder Text"/>
    <w:basedOn w:val="Absatz-Standardschriftart"/>
    <w:uiPriority w:val="99"/>
    <w:semiHidden/>
    <w:rsid w:val="002839E7"/>
    <w:rPr>
      <w:color w:val="808080"/>
    </w:rPr>
  </w:style>
  <w:style w:type="character" w:customStyle="1" w:styleId="ListenabsatzZchn">
    <w:name w:val="Listenabsatz Zchn"/>
    <w:basedOn w:val="Absatz-Standardschriftart"/>
    <w:link w:val="Listenabsatz"/>
    <w:uiPriority w:val="34"/>
    <w:rsid w:val="00A70F5D"/>
    <w:rPr>
      <w:rFonts w:cs="Times New Roman (Textkörper CS)"/>
      <w:color w:val="000000" w:themeColor="text1"/>
      <w:spacing w:val="4"/>
      <w:sz w:val="22"/>
    </w:rPr>
  </w:style>
  <w:style w:type="paragraph" w:customStyle="1" w:styleId="Default">
    <w:name w:val="Default"/>
    <w:rsid w:val="00E70DDA"/>
    <w:pPr>
      <w:autoSpaceDE w:val="0"/>
      <w:autoSpaceDN w:val="0"/>
      <w:adjustRightInd w:val="0"/>
    </w:pPr>
    <w:rPr>
      <w:rFonts w:ascii="Arial" w:hAnsi="Arial" w:cs="Arial"/>
      <w:color w:val="000000"/>
    </w:rPr>
  </w:style>
  <w:style w:type="character" w:styleId="BesuchterLink">
    <w:name w:val="FollowedHyperlink"/>
    <w:basedOn w:val="Absatz-Standardschriftart"/>
    <w:uiPriority w:val="99"/>
    <w:semiHidden/>
    <w:unhideWhenUsed/>
    <w:rsid w:val="00CB627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71417543">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782965608">
      <w:bodyDiv w:val="1"/>
      <w:marLeft w:val="0"/>
      <w:marRight w:val="0"/>
      <w:marTop w:val="0"/>
      <w:marBottom w:val="0"/>
      <w:divBdr>
        <w:top w:val="none" w:sz="0" w:space="0" w:color="auto"/>
        <w:left w:val="none" w:sz="0" w:space="0" w:color="auto"/>
        <w:bottom w:val="none" w:sz="0" w:space="0" w:color="auto"/>
        <w:right w:val="none" w:sz="0" w:space="0" w:color="auto"/>
      </w:divBdr>
    </w:div>
    <w:div w:id="81182309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054934319">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9062792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777169353">
      <w:bodyDiv w:val="1"/>
      <w:marLeft w:val="0"/>
      <w:marRight w:val="0"/>
      <w:marTop w:val="0"/>
      <w:marBottom w:val="0"/>
      <w:divBdr>
        <w:top w:val="none" w:sz="0" w:space="0" w:color="auto"/>
        <w:left w:val="none" w:sz="0" w:space="0" w:color="auto"/>
        <w:bottom w:val="none" w:sz="0" w:space="0" w:color="auto"/>
        <w:right w:val="none" w:sz="0" w:space="0" w:color="auto"/>
      </w:divBdr>
      <w:divsChild>
        <w:div w:id="1826043961">
          <w:marLeft w:val="0"/>
          <w:marRight w:val="0"/>
          <w:marTop w:val="0"/>
          <w:marBottom w:val="0"/>
          <w:divBdr>
            <w:top w:val="none" w:sz="0" w:space="0" w:color="auto"/>
            <w:left w:val="none" w:sz="0" w:space="0" w:color="auto"/>
            <w:bottom w:val="none" w:sz="0" w:space="0" w:color="auto"/>
            <w:right w:val="none" w:sz="0" w:space="0" w:color="auto"/>
          </w:divBdr>
          <w:divsChild>
            <w:div w:id="2050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ites/default/files/dok/anlage_2_amtsblatt_f_e_i_unionsrahm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fg.at/sites/default/files/dok/anlage_2_amtsblatt_f_e_i_unionsrahmen.pdf" TargetMode="External"/><Relationship Id="rId4" Type="http://schemas.openxmlformats.org/officeDocument/2006/relationships/settings" Target="settings.xml"/><Relationship Id="rId9" Type="http://schemas.openxmlformats.org/officeDocument/2006/relationships/hyperlink" Target="file:///S:\SP\2_PROGR\FuE_Infrastrukturfoerderung\EFRE\Programmperiode_neu\Trennungsrechnung_Einnahmen\Vorlage_Best&#228;tigung_Trennungsrechnung_FN.docx"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sites/default/files/dok/anlage_2_amtsblatt_f_e_i_unionsrahm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7F04B55-29DD-4598-AAF2-15220725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837</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Alexander Holzweber</dc:creator>
  <cp:keywords/>
  <dc:description/>
  <cp:lastModifiedBy>Joachim Haumann</cp:lastModifiedBy>
  <cp:revision>7</cp:revision>
  <cp:lastPrinted>2022-07-11T13:19:00Z</cp:lastPrinted>
  <dcterms:created xsi:type="dcterms:W3CDTF">2023-07-11T13:54:00Z</dcterms:created>
  <dcterms:modified xsi:type="dcterms:W3CDTF">2023-09-04T06:26:00Z</dcterms:modified>
</cp:coreProperties>
</file>