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8FAB6" w14:textId="134796D7" w:rsidR="0086040F" w:rsidRDefault="002B0639" w:rsidP="0086040F">
      <w:pPr>
        <w:pStyle w:val="Titel"/>
        <w:spacing w:before="360" w:after="360"/>
        <w:jc w:val="center"/>
      </w:pPr>
      <w:r>
        <w:t xml:space="preserve">Stadt der Zukunft </w:t>
      </w:r>
      <w:r w:rsidR="00023CCD">
        <w:t xml:space="preserve">- </w:t>
      </w:r>
      <w:r w:rsidR="00393E89">
        <w:t>4</w:t>
      </w:r>
      <w:r w:rsidR="002756B2">
        <w:t xml:space="preserve">. Ausschreibung </w:t>
      </w:r>
      <w:r w:rsidR="0032643A">
        <w:br/>
      </w:r>
    </w:p>
    <w:p w14:paraId="40BE02C8" w14:textId="5176DEB3" w:rsidR="00497EE9" w:rsidRDefault="002B0639" w:rsidP="0086040F">
      <w:pPr>
        <w:pStyle w:val="Titel"/>
        <w:spacing w:before="360" w:after="360"/>
        <w:jc w:val="center"/>
      </w:pPr>
      <w:r>
        <w:t>Vertragsbeilage</w:t>
      </w:r>
      <w:r w:rsidR="00516DE9">
        <w:t xml:space="preserve"> für </w:t>
      </w:r>
      <w:r w:rsidR="002756B2">
        <w:t>D</w:t>
      </w:r>
      <w:r w:rsidR="00516DE9">
        <w:t>emo</w:t>
      </w:r>
      <w:r w:rsidR="002756B2">
        <w:t>nstrationsgebäude</w:t>
      </w:r>
    </w:p>
    <w:p w14:paraId="140F4DA6" w14:textId="77777777" w:rsidR="00447AC1" w:rsidRDefault="00447AC1" w:rsidP="00EB4EB2">
      <w:pPr>
        <w:pStyle w:val="Untertitel"/>
      </w:pPr>
    </w:p>
    <w:p w14:paraId="2A229FAA" w14:textId="6B6CFA5A" w:rsidR="00447AC1" w:rsidRDefault="00447AC1" w:rsidP="00EB4EB2">
      <w:pPr>
        <w:pStyle w:val="Untertitel"/>
      </w:pPr>
      <w:r>
        <w:t>Abrechnung Gemeinkostenzuschlag:</w:t>
      </w:r>
    </w:p>
    <w:p w14:paraId="26E36749" w14:textId="77777777" w:rsidR="00447AC1" w:rsidRDefault="00447AC1" w:rsidP="00447AC1">
      <w:pPr>
        <w:shd w:val="clear" w:color="auto" w:fill="FFFFFF"/>
        <w:spacing w:after="0" w:line="276" w:lineRule="auto"/>
      </w:pPr>
    </w:p>
    <w:p w14:paraId="7CFE1463" w14:textId="4D5BF865" w:rsidR="00447AC1" w:rsidRDefault="00447AC1" w:rsidP="00447AC1">
      <w:pPr>
        <w:shd w:val="clear" w:color="auto" w:fill="FFFFFF"/>
        <w:spacing w:after="0" w:line="276" w:lineRule="auto"/>
      </w:pPr>
      <w:r>
        <w:t>Bei der Abrechnung von Gemeinkostenzuschl</w:t>
      </w:r>
      <w:r w:rsidR="003F7663">
        <w:t>ägen ist für Demonstrationsgebäu</w:t>
      </w:r>
      <w:r>
        <w:t>de folgendes zu beachten:</w:t>
      </w:r>
    </w:p>
    <w:p w14:paraId="3A6114FF" w14:textId="77777777" w:rsidR="00447AC1" w:rsidRDefault="00447AC1" w:rsidP="00447AC1">
      <w:pPr>
        <w:shd w:val="clear" w:color="auto" w:fill="FFFFFF"/>
        <w:spacing w:after="0" w:line="276" w:lineRule="auto"/>
      </w:pPr>
    </w:p>
    <w:p w14:paraId="7B550695" w14:textId="49424422" w:rsidR="00447AC1" w:rsidRPr="00447AC1" w:rsidRDefault="00447AC1" w:rsidP="00447AC1">
      <w:pPr>
        <w:shd w:val="clear" w:color="auto" w:fill="FFFFFF"/>
        <w:spacing w:after="0" w:line="276" w:lineRule="auto"/>
        <w:rPr>
          <w:b/>
        </w:rPr>
      </w:pPr>
      <w:r>
        <w:t xml:space="preserve">Bei Demonstrationsgebäuden bezieht sich die Förderung auf die mit der Innovation in direkter Verbindung stehenden Elemente des zu errichtenden bzw. zu sanierenden Gebäudes (innovative Mehrkosten). </w:t>
      </w:r>
      <w:r w:rsidRPr="00447AC1">
        <w:rPr>
          <w:b/>
        </w:rPr>
        <w:t xml:space="preserve">Für Demonstrationsgebäude-, -gebäudeverbände </w:t>
      </w:r>
      <w:r w:rsidR="00393E89">
        <w:rPr>
          <w:b/>
        </w:rPr>
        <w:t>oder -</w:t>
      </w:r>
      <w:proofErr w:type="spellStart"/>
      <w:r w:rsidR="00393E89">
        <w:rPr>
          <w:b/>
        </w:rPr>
        <w:t>gebäudeteile</w:t>
      </w:r>
      <w:proofErr w:type="spellEnd"/>
      <w:r w:rsidR="00393E89">
        <w:rPr>
          <w:b/>
        </w:rPr>
        <w:t xml:space="preserve"> (Themenfeld 5</w:t>
      </w:r>
      <w:r w:rsidRPr="00447AC1">
        <w:rPr>
          <w:b/>
        </w:rPr>
        <w:t xml:space="preserve">) kann daher in den Kostenpositionen „Sach- und Materialkosten“ und "F&amp;E Infrastrukturnutzung" kein Gemeinkostenzuschlag (GKZ) aufgeschlagen werden. </w:t>
      </w:r>
      <w:r w:rsidRPr="003F7663">
        <w:rPr>
          <w:b/>
          <w:u w:val="single"/>
        </w:rPr>
        <w:t xml:space="preserve">Die automatisierte Berechnung des Gemeinkostenzuschlags </w:t>
      </w:r>
      <w:r w:rsidR="003F7663" w:rsidRPr="003F7663">
        <w:rPr>
          <w:b/>
          <w:u w:val="single"/>
        </w:rPr>
        <w:t xml:space="preserve">des im </w:t>
      </w:r>
      <w:proofErr w:type="spellStart"/>
      <w:r w:rsidR="003F7663" w:rsidRPr="003F7663">
        <w:rPr>
          <w:b/>
          <w:u w:val="single"/>
        </w:rPr>
        <w:t>eCall</w:t>
      </w:r>
      <w:proofErr w:type="spellEnd"/>
      <w:r w:rsidR="003F7663" w:rsidRPr="003F7663">
        <w:rPr>
          <w:b/>
          <w:u w:val="single"/>
        </w:rPr>
        <w:t xml:space="preserve"> erstellten Kostenplans</w:t>
      </w:r>
      <w:r w:rsidRPr="00447AC1">
        <w:rPr>
          <w:b/>
          <w:u w:val="single"/>
        </w:rPr>
        <w:t xml:space="preserve"> w</w:t>
      </w:r>
      <w:r w:rsidR="00FA5DF4">
        <w:rPr>
          <w:b/>
          <w:u w:val="single"/>
        </w:rPr>
        <w:t xml:space="preserve">ird </w:t>
      </w:r>
      <w:r w:rsidRPr="00447AC1">
        <w:rPr>
          <w:b/>
          <w:u w:val="single"/>
        </w:rPr>
        <w:t>im Zuge einer Vertragserrichtung entsprechend angepasst.</w:t>
      </w:r>
    </w:p>
    <w:p w14:paraId="0D5405BE" w14:textId="77777777" w:rsidR="00447AC1" w:rsidRDefault="00447AC1" w:rsidP="00EB4EB2">
      <w:pPr>
        <w:pStyle w:val="Untertitel"/>
      </w:pPr>
      <w:bookmarkStart w:id="0" w:name="_GoBack"/>
      <w:bookmarkEnd w:id="0"/>
    </w:p>
    <w:p w14:paraId="3081B6F8" w14:textId="77777777" w:rsidR="00447AC1" w:rsidRDefault="00447AC1" w:rsidP="00EB4EB2">
      <w:pPr>
        <w:pStyle w:val="Untertitel"/>
      </w:pPr>
    </w:p>
    <w:p w14:paraId="547D7903" w14:textId="4ECD2E9A" w:rsidR="002753BE" w:rsidRDefault="00516DE9" w:rsidP="00EB4EB2">
      <w:pPr>
        <w:pStyle w:val="Untertitel"/>
      </w:pPr>
      <w:r>
        <w:t>Konkretisierung der Anforderungen an das Monitoring</w:t>
      </w:r>
      <w:r w:rsidR="00447AC1">
        <w:t>:</w:t>
      </w:r>
    </w:p>
    <w:p w14:paraId="1A15A316" w14:textId="77777777" w:rsidR="002756B2" w:rsidRDefault="002756B2" w:rsidP="00EB4EB2">
      <w:pPr>
        <w:pStyle w:val="Untertitel"/>
      </w:pPr>
    </w:p>
    <w:p w14:paraId="1EB29594" w14:textId="77777777" w:rsidR="00D76C4F" w:rsidRDefault="00D76C4F" w:rsidP="00EC7001">
      <w:bookmarkStart w:id="1" w:name="_Ref170039154"/>
      <w:r>
        <w:t xml:space="preserve">Bei den nachfolgenden Anforderungen für das </w:t>
      </w:r>
    </w:p>
    <w:p w14:paraId="44211739" w14:textId="77777777" w:rsidR="009F0F21" w:rsidRPr="0010008C" w:rsidRDefault="00D76C4F" w:rsidP="009F0F21">
      <w:pPr>
        <w:keepLines/>
        <w:numPr>
          <w:ilvl w:val="0"/>
          <w:numId w:val="8"/>
        </w:numPr>
        <w:jc w:val="left"/>
      </w:pPr>
      <w:r>
        <w:t xml:space="preserve">Energieverbrauchs- und </w:t>
      </w:r>
      <w:proofErr w:type="spellStart"/>
      <w:r>
        <w:t>Komfortmonitoring</w:t>
      </w:r>
      <w:proofErr w:type="spellEnd"/>
    </w:p>
    <w:p w14:paraId="4484B1FC" w14:textId="77777777" w:rsidR="009F0F21" w:rsidRPr="0010008C" w:rsidRDefault="00D76C4F" w:rsidP="009F0F21">
      <w:pPr>
        <w:keepLines/>
        <w:numPr>
          <w:ilvl w:val="0"/>
          <w:numId w:val="8"/>
        </w:numPr>
        <w:jc w:val="left"/>
      </w:pPr>
      <w:proofErr w:type="spellStart"/>
      <w:r>
        <w:t>Kostenmonitoring</w:t>
      </w:r>
      <w:proofErr w:type="spellEnd"/>
    </w:p>
    <w:p w14:paraId="31ACE6F1" w14:textId="77777777" w:rsidR="009F0F21" w:rsidRPr="0010008C" w:rsidRDefault="00D76C4F" w:rsidP="009F0F21">
      <w:pPr>
        <w:keepLines/>
        <w:numPr>
          <w:ilvl w:val="0"/>
          <w:numId w:val="8"/>
        </w:numPr>
        <w:jc w:val="left"/>
      </w:pPr>
      <w:r>
        <w:t>Sozialwissenschaftliche Monitoring</w:t>
      </w:r>
    </w:p>
    <w:p w14:paraId="51246F96" w14:textId="1CA4629F" w:rsidR="00D76C4F" w:rsidRDefault="00D76C4F" w:rsidP="00EC7001">
      <w:r>
        <w:t xml:space="preserve">handelt es sich um </w:t>
      </w:r>
      <w:r w:rsidRPr="003168AE">
        <w:rPr>
          <w:b/>
        </w:rPr>
        <w:t>zwingend einzuhaltende Mindestanforderungen</w:t>
      </w:r>
      <w:r w:rsidR="00393E89">
        <w:t xml:space="preserve"> für in Themenfeld 5</w:t>
      </w:r>
      <w:r w:rsidR="002756B2">
        <w:t xml:space="preserve"> „Demonstrationsgebäude und –</w:t>
      </w:r>
      <w:proofErr w:type="spellStart"/>
      <w:r w:rsidR="002756B2">
        <w:t>siedlungen</w:t>
      </w:r>
      <w:proofErr w:type="spellEnd"/>
      <w:r w:rsidR="002756B2">
        <w:t xml:space="preserve"> eingereichte Projekte. </w:t>
      </w:r>
      <w:r>
        <w:t xml:space="preserve">Ebenso stellen die </w:t>
      </w:r>
      <w:r>
        <w:lastRenderedPageBreak/>
        <w:t xml:space="preserve">genannten Berichtserfordernisse sowie die Anforderungen hinsichtlich Datenübergabe und </w:t>
      </w:r>
      <w:r w:rsidR="002777CC">
        <w:t xml:space="preserve">Datenschutz zwingend einzuhaltende Mindestanforderungen dar und sind integraler Vertragsbestandteil zwischen der FFG und </w:t>
      </w:r>
      <w:r w:rsidR="00563FC5">
        <w:t xml:space="preserve">den </w:t>
      </w:r>
      <w:proofErr w:type="spellStart"/>
      <w:r w:rsidR="002777CC">
        <w:t>Fördernehmer</w:t>
      </w:r>
      <w:r w:rsidR="00563FC5">
        <w:t>Innen</w:t>
      </w:r>
      <w:proofErr w:type="spellEnd"/>
      <w:r w:rsidR="002777CC">
        <w:t>.</w:t>
      </w:r>
    </w:p>
    <w:p w14:paraId="022AF1F2" w14:textId="77777777" w:rsidR="00A62FE2" w:rsidRPr="002E6D5A" w:rsidRDefault="00A62FE2" w:rsidP="00EC7001">
      <w:pPr>
        <w:rPr>
          <w:rStyle w:val="Hervorhebung"/>
        </w:rPr>
      </w:pPr>
    </w:p>
    <w:p w14:paraId="7DD9A4A1" w14:textId="5AC91075" w:rsidR="00F22433" w:rsidRDefault="00D30668" w:rsidP="00A06A15">
      <w:pPr>
        <w:pStyle w:val="berschrift1"/>
        <w:pBdr>
          <w:bottom w:val="none" w:sz="0" w:space="0" w:color="auto"/>
        </w:pBdr>
      </w:pPr>
      <w:bookmarkStart w:id="2" w:name="_Toc430627266"/>
      <w:r>
        <w:t>Erforderliche Unterlagen für die Projekteinreichung</w:t>
      </w:r>
      <w:bookmarkEnd w:id="2"/>
      <w:r>
        <w:t xml:space="preserve"> </w:t>
      </w:r>
    </w:p>
    <w:p w14:paraId="218DBE35" w14:textId="540D69BC" w:rsidR="00293264" w:rsidRDefault="00293264" w:rsidP="00F22433">
      <w:r>
        <w:t xml:space="preserve">Für das </w:t>
      </w:r>
      <w:r w:rsidR="002756B2">
        <w:t>Demonstrationsgebäude</w:t>
      </w:r>
      <w:r>
        <w:t xml:space="preserve"> ist eine </w:t>
      </w:r>
      <w:r w:rsidRPr="002E6D5A">
        <w:rPr>
          <w:b/>
        </w:rPr>
        <w:t xml:space="preserve">detaillierte Berechnung der energietechnischen Performance </w:t>
      </w:r>
      <w:r w:rsidR="00DD20CA">
        <w:t>Grundlage der Projektbewertung durch die Jury. Diese Berechnung ist mittels PHPP (Passivhaus Projektierungs-Paket) oder gleichwertiger Software zu erstellen.</w:t>
      </w:r>
    </w:p>
    <w:p w14:paraId="55C6CBB2" w14:textId="747CC099" w:rsidR="00C36703" w:rsidRDefault="00DD20CA" w:rsidP="00F22433">
      <w:r>
        <w:t xml:space="preserve">Sofern sich zwischen der Projekteinreichung und dem Projektabschluss Änderungen an der Planung oder Ausführung ergeben haben, die relevant sind für die energietechnische Performance, so sind diese Änderungen in einer aktualisierten Berechnung entsprechend zu berücksichtigen und die Ergebnisse der aktualisierten Berechnung spätestens mit </w:t>
      </w:r>
      <w:r w:rsidR="007F52C7">
        <w:t xml:space="preserve">dem Endbericht </w:t>
      </w:r>
      <w:r>
        <w:t>an die FFG zu übermitteln</w:t>
      </w:r>
      <w:r w:rsidR="006B21F4">
        <w:t>.</w:t>
      </w:r>
      <w:r>
        <w:t xml:space="preserve"> </w:t>
      </w:r>
    </w:p>
    <w:p w14:paraId="1F999E04" w14:textId="787070BF" w:rsidR="00D30668" w:rsidRDefault="00D30668" w:rsidP="00F22433">
      <w:r>
        <w:t xml:space="preserve">Darüber </w:t>
      </w:r>
      <w:r w:rsidR="00634EF6">
        <w:t xml:space="preserve">hinaus </w:t>
      </w:r>
      <w:r>
        <w:t xml:space="preserve">muss der Projektantrag auch ein </w:t>
      </w:r>
      <w:r w:rsidRPr="002E6D5A">
        <w:rPr>
          <w:b/>
        </w:rPr>
        <w:t>Monitoring-Konzept</w:t>
      </w:r>
      <w:r>
        <w:t xml:space="preserve"> enthalten. Aus diesem </w:t>
      </w:r>
      <w:r w:rsidR="0026757D">
        <w:t>Monitoring-</w:t>
      </w:r>
      <w:r>
        <w:t>Konzept müssen für das Gebäude insgesamt sowie für die eingesetzten innovativen Technologien insbesondere folgende Informationen hervorgehen:</w:t>
      </w:r>
    </w:p>
    <w:p w14:paraId="300D8873" w14:textId="1F77B65A" w:rsidR="00D30668" w:rsidRDefault="00D30668" w:rsidP="00D30668">
      <w:pPr>
        <w:keepLines/>
        <w:numPr>
          <w:ilvl w:val="0"/>
          <w:numId w:val="8"/>
        </w:numPr>
        <w:jc w:val="left"/>
      </w:pPr>
      <w:r>
        <w:t xml:space="preserve">Welche </w:t>
      </w:r>
      <w:r w:rsidR="0026757D">
        <w:t>energietechnischen und Komfortp</w:t>
      </w:r>
      <w:r>
        <w:t>arameter werden messtechnisch erfasst?</w:t>
      </w:r>
    </w:p>
    <w:p w14:paraId="25D3BCC7" w14:textId="17EE647C" w:rsidR="00D30668" w:rsidRDefault="00D30668" w:rsidP="00D30668">
      <w:pPr>
        <w:keepLines/>
        <w:numPr>
          <w:ilvl w:val="0"/>
          <w:numId w:val="8"/>
        </w:numPr>
        <w:jc w:val="left"/>
      </w:pPr>
      <w:r>
        <w:t>Welche Messeinrichtungen sollen im Rahmen des Monitorings eingesetzt werden?</w:t>
      </w:r>
    </w:p>
    <w:p w14:paraId="46FDF6B5" w14:textId="4E9B69D2" w:rsidR="00D30668" w:rsidRDefault="00D30668" w:rsidP="00D30668">
      <w:pPr>
        <w:keepLines/>
        <w:numPr>
          <w:ilvl w:val="0"/>
          <w:numId w:val="8"/>
        </w:numPr>
        <w:jc w:val="left"/>
      </w:pPr>
      <w:r>
        <w:t xml:space="preserve">Welche zeitliche Auflösung ist </w:t>
      </w:r>
      <w:r w:rsidR="0026757D">
        <w:t xml:space="preserve">jeweils </w:t>
      </w:r>
      <w:r>
        <w:t>vorgesehen?</w:t>
      </w:r>
    </w:p>
    <w:p w14:paraId="2F919DA6" w14:textId="326ADBC1" w:rsidR="00D30668" w:rsidRDefault="00D30668" w:rsidP="00D30668">
      <w:pPr>
        <w:keepLines/>
        <w:numPr>
          <w:ilvl w:val="0"/>
          <w:numId w:val="8"/>
        </w:numPr>
        <w:jc w:val="left"/>
      </w:pPr>
      <w:r>
        <w:t xml:space="preserve">Welche Bilanzgrenzen </w:t>
      </w:r>
      <w:r w:rsidR="00DB03CF">
        <w:t xml:space="preserve">und </w:t>
      </w:r>
      <w:r w:rsidR="00CC1872">
        <w:t>gegebenenfalls</w:t>
      </w:r>
      <w:r w:rsidR="00DB03CF">
        <w:t xml:space="preserve"> Zonierungen werden angenommen?</w:t>
      </w:r>
    </w:p>
    <w:p w14:paraId="2ED325E8" w14:textId="0FD4A821" w:rsidR="00DB03CF" w:rsidRDefault="00DB03CF" w:rsidP="00D30668">
      <w:pPr>
        <w:keepLines/>
        <w:numPr>
          <w:ilvl w:val="0"/>
          <w:numId w:val="8"/>
        </w:numPr>
        <w:jc w:val="left"/>
      </w:pPr>
      <w:r>
        <w:t>Wie soll die Übertragung, Speicherung und Dokumentation der Daten erfolgen?</w:t>
      </w:r>
    </w:p>
    <w:p w14:paraId="54B4685A" w14:textId="28142607" w:rsidR="004E1777" w:rsidRPr="0010008C" w:rsidRDefault="004E1777" w:rsidP="00D30668">
      <w:pPr>
        <w:keepLines/>
        <w:numPr>
          <w:ilvl w:val="0"/>
          <w:numId w:val="8"/>
        </w:numPr>
        <w:jc w:val="left"/>
      </w:pPr>
      <w:r>
        <w:t>Welche Vorkehrungen werden getroffen, um Datenschutz zu gewährleisten?</w:t>
      </w:r>
    </w:p>
    <w:p w14:paraId="6C67A896" w14:textId="77777777" w:rsidR="00406AB0" w:rsidRPr="002756B2" w:rsidRDefault="00406AB0" w:rsidP="00A06A15">
      <w:pPr>
        <w:pStyle w:val="berschrift1"/>
        <w:pBdr>
          <w:bottom w:val="none" w:sz="0" w:space="0" w:color="auto"/>
        </w:pBdr>
      </w:pPr>
      <w:bookmarkStart w:id="3" w:name="_Toc430627267"/>
      <w:r w:rsidRPr="002756B2">
        <w:t xml:space="preserve">Energieverbrauchs- und </w:t>
      </w:r>
      <w:proofErr w:type="spellStart"/>
      <w:r w:rsidRPr="002756B2">
        <w:t>Komfortmonitoring</w:t>
      </w:r>
      <w:bookmarkEnd w:id="1"/>
      <w:bookmarkEnd w:id="3"/>
      <w:proofErr w:type="spellEnd"/>
    </w:p>
    <w:p w14:paraId="5FBB8278" w14:textId="171DB565" w:rsidR="004C4117" w:rsidRDefault="0026757D" w:rsidP="00406AB0">
      <w:r>
        <w:t xml:space="preserve">Der/die </w:t>
      </w:r>
      <w:proofErr w:type="spellStart"/>
      <w:r>
        <w:t>FörderungsnehmerIn</w:t>
      </w:r>
      <w:proofErr w:type="spellEnd"/>
      <w:r w:rsidR="00305A6B">
        <w:t xml:space="preserve"> </w:t>
      </w:r>
      <w:r>
        <w:t xml:space="preserve">hat </w:t>
      </w:r>
      <w:r w:rsidR="00305A6B">
        <w:t xml:space="preserve">zusammen mit dem Endbericht zum Demoprojekt das vollständige </w:t>
      </w:r>
      <w:proofErr w:type="spellStart"/>
      <w:r w:rsidR="00305A6B">
        <w:t>Monitoring</w:t>
      </w:r>
      <w:r w:rsidR="002777CC">
        <w:t>k</w:t>
      </w:r>
      <w:r w:rsidR="00305A6B">
        <w:t>onzept</w:t>
      </w:r>
      <w:proofErr w:type="spellEnd"/>
      <w:r w:rsidR="00305A6B">
        <w:t xml:space="preserve"> zu übermitteln. </w:t>
      </w:r>
      <w:r w:rsidR="004C4117">
        <w:t xml:space="preserve">Das </w:t>
      </w:r>
      <w:proofErr w:type="spellStart"/>
      <w:r w:rsidR="004C4117">
        <w:t>Mo</w:t>
      </w:r>
      <w:r w:rsidR="002777CC">
        <w:t>n</w:t>
      </w:r>
      <w:r w:rsidR="004C4117">
        <w:t>itoringkonzept</w:t>
      </w:r>
      <w:proofErr w:type="spellEnd"/>
      <w:r w:rsidR="004C4117">
        <w:t xml:space="preserve"> muss jedenfalls enthalten: </w:t>
      </w:r>
    </w:p>
    <w:p w14:paraId="378918BA" w14:textId="51D443C6" w:rsidR="009F0F21" w:rsidRPr="0010008C" w:rsidRDefault="004C4117" w:rsidP="009F0F21">
      <w:pPr>
        <w:keepLines/>
        <w:numPr>
          <w:ilvl w:val="0"/>
          <w:numId w:val="8"/>
        </w:numPr>
        <w:jc w:val="left"/>
      </w:pPr>
      <w:r>
        <w:t>eine schematische Darstellung der einzelnen Zählpunkte sowie der erfassten Messbereiche (Gebäude gesamt, einzelne Nutzungseinheiten</w:t>
      </w:r>
      <w:r w:rsidR="00AD52C7">
        <w:t xml:space="preserve">, Angabe </w:t>
      </w:r>
      <w:r w:rsidR="00634EF6">
        <w:t xml:space="preserve">der </w:t>
      </w:r>
      <w:r w:rsidR="00AD52C7">
        <w:t>Messparameter z.B. Wärmemenge, Temperat</w:t>
      </w:r>
      <w:r w:rsidR="00F20B1B">
        <w:t>ur, etc.</w:t>
      </w:r>
      <w:r>
        <w:t>);</w:t>
      </w:r>
      <w:r w:rsidR="009F0F21" w:rsidRPr="009F0F21">
        <w:t xml:space="preserve"> </w:t>
      </w:r>
    </w:p>
    <w:p w14:paraId="218656F6" w14:textId="6908F14B" w:rsidR="009F0F21" w:rsidRPr="0010008C" w:rsidRDefault="004C4117" w:rsidP="009F0F21">
      <w:pPr>
        <w:keepLines/>
        <w:numPr>
          <w:ilvl w:val="0"/>
          <w:numId w:val="8"/>
        </w:numPr>
        <w:jc w:val="left"/>
      </w:pPr>
      <w:proofErr w:type="spellStart"/>
      <w:r>
        <w:lastRenderedPageBreak/>
        <w:t>planliche</w:t>
      </w:r>
      <w:proofErr w:type="spellEnd"/>
      <w:r>
        <w:t xml:space="preserve"> Darstellungen, aus der die Lage der einzelnen </w:t>
      </w:r>
      <w:r w:rsidR="008D54D5">
        <w:t xml:space="preserve">Messpunkte </w:t>
      </w:r>
      <w:r>
        <w:t>im Gebäude ersichtlich ist</w:t>
      </w:r>
      <w:r w:rsidR="00AD52C7">
        <w:t xml:space="preserve"> (Grundriss und Schnitt)</w:t>
      </w:r>
      <w:r>
        <w:t>;</w:t>
      </w:r>
      <w:r w:rsidR="009F0F21" w:rsidRPr="009F0F21">
        <w:t xml:space="preserve"> </w:t>
      </w:r>
    </w:p>
    <w:p w14:paraId="39C2E878" w14:textId="5AAC14E6" w:rsidR="009F0F21" w:rsidRPr="0010008C" w:rsidRDefault="004C4117" w:rsidP="009F0F21">
      <w:pPr>
        <w:keepLines/>
        <w:numPr>
          <w:ilvl w:val="0"/>
          <w:numId w:val="8"/>
        </w:numPr>
        <w:jc w:val="left"/>
      </w:pPr>
      <w:r>
        <w:t xml:space="preserve">eine vollständige Liste der Messpunkte inkl. </w:t>
      </w:r>
      <w:r w:rsidR="00CB3D7B">
        <w:t xml:space="preserve">eindeutiger </w:t>
      </w:r>
      <w:r>
        <w:t xml:space="preserve">Bezeichnung </w:t>
      </w:r>
      <w:r w:rsidR="00CB3D7B">
        <w:t xml:space="preserve">(Datenpunkt-ID) </w:t>
      </w:r>
      <w:r>
        <w:t>und Zuordnungen zu den einzelnen Messparametern</w:t>
      </w:r>
      <w:r w:rsidR="00AD52C7">
        <w:t xml:space="preserve"> </w:t>
      </w:r>
      <w:r w:rsidR="00634EF6">
        <w:t>(</w:t>
      </w:r>
      <w:r w:rsidR="00AD52C7">
        <w:t xml:space="preserve">sowie </w:t>
      </w:r>
      <w:r w:rsidR="00634EF6">
        <w:t xml:space="preserve">Angabe der jeweiligen </w:t>
      </w:r>
      <w:r w:rsidR="00AD52C7">
        <w:t>Messintervall</w:t>
      </w:r>
      <w:r w:rsidR="00634EF6">
        <w:t>e)</w:t>
      </w:r>
      <w:r>
        <w:t>.</w:t>
      </w:r>
      <w:r w:rsidR="009F0F21" w:rsidRPr="009F0F21">
        <w:t xml:space="preserve"> </w:t>
      </w:r>
    </w:p>
    <w:p w14:paraId="055D19EA" w14:textId="1EB628EB" w:rsidR="004C4117" w:rsidRDefault="004C4117" w:rsidP="00406AB0">
      <w:r>
        <w:t xml:space="preserve">Im </w:t>
      </w:r>
      <w:proofErr w:type="spellStart"/>
      <w:r>
        <w:t>Monitoringkonzept</w:t>
      </w:r>
      <w:proofErr w:type="spellEnd"/>
      <w:r>
        <w:t xml:space="preserve"> zum Demoprojekt-Endbericht </w:t>
      </w:r>
      <w:r w:rsidR="00305A6B">
        <w:t xml:space="preserve">ist nachvollziehbar darzulegen, welche Maßnahmen von Beginn der Planung bis zur </w:t>
      </w:r>
      <w:r w:rsidR="007F52C7">
        <w:t xml:space="preserve">Inbetriebnahme </w:t>
      </w:r>
      <w:r w:rsidR="00CB3D7B">
        <w:t xml:space="preserve">bzw. Abnahme </w:t>
      </w:r>
      <w:r w:rsidR="00305A6B">
        <w:t>des Gebäudes ergriffen wurden, um ein durchgehend funktionsfähiges Monitoring sicher zu stellen</w:t>
      </w:r>
      <w:r w:rsidR="005A7CEF">
        <w:t>. Dies umfasst insbesondere</w:t>
      </w:r>
      <w:r>
        <w:t>:</w:t>
      </w:r>
    </w:p>
    <w:p w14:paraId="5FB7E313" w14:textId="77777777" w:rsidR="009F0F21" w:rsidRPr="0010008C" w:rsidRDefault="005A7CEF" w:rsidP="009F0F21">
      <w:pPr>
        <w:keepLines/>
        <w:numPr>
          <w:ilvl w:val="0"/>
          <w:numId w:val="8"/>
        </w:numPr>
        <w:jc w:val="left"/>
      </w:pPr>
      <w:r>
        <w:t>die frühzeitige Berücksichtigung des Monitorings in der Planung und Ausschreibung</w:t>
      </w:r>
      <w:r w:rsidR="004C4117">
        <w:t>;</w:t>
      </w:r>
      <w:r w:rsidR="009F0F21" w:rsidRPr="009F0F21">
        <w:t xml:space="preserve"> </w:t>
      </w:r>
    </w:p>
    <w:p w14:paraId="2C8F2B2B" w14:textId="08A183CD" w:rsidR="009F0F21" w:rsidRPr="0010008C" w:rsidRDefault="005A7CEF" w:rsidP="009F0F21">
      <w:pPr>
        <w:keepLines/>
        <w:numPr>
          <w:ilvl w:val="0"/>
          <w:numId w:val="8"/>
        </w:numPr>
        <w:jc w:val="left"/>
      </w:pPr>
      <w:r>
        <w:t>(</w:t>
      </w:r>
      <w:r w:rsidR="00CC1872">
        <w:t>gegebenenfalls</w:t>
      </w:r>
      <w:r>
        <w:t xml:space="preserve"> externe) Qualitätssicherung des </w:t>
      </w:r>
      <w:proofErr w:type="spellStart"/>
      <w:r>
        <w:t>Monitoringkonzepts</w:t>
      </w:r>
      <w:proofErr w:type="spellEnd"/>
      <w:r w:rsidR="004C4117">
        <w:t>;</w:t>
      </w:r>
      <w:r w:rsidR="009F0F21" w:rsidRPr="009F0F21">
        <w:t xml:space="preserve"> </w:t>
      </w:r>
    </w:p>
    <w:p w14:paraId="0B77CD3E" w14:textId="166A3437" w:rsidR="009F0F21" w:rsidRPr="0010008C" w:rsidRDefault="005A7CEF" w:rsidP="009F0F21">
      <w:pPr>
        <w:keepLines/>
        <w:numPr>
          <w:ilvl w:val="0"/>
          <w:numId w:val="8"/>
        </w:numPr>
        <w:jc w:val="left"/>
      </w:pPr>
      <w:r>
        <w:t>Überprüfung sämtlicher Datenpunkte auf Übermittlung der korrekten Daten</w:t>
      </w:r>
      <w:r w:rsidR="00CB3D7B">
        <w:t xml:space="preserve"> sowie Plausibilität der übermittelten Daten</w:t>
      </w:r>
      <w:r w:rsidR="004C4117">
        <w:t>;</w:t>
      </w:r>
      <w:r w:rsidR="009F0F21" w:rsidRPr="009F0F21">
        <w:t xml:space="preserve"> </w:t>
      </w:r>
    </w:p>
    <w:p w14:paraId="0E0974FB" w14:textId="77777777" w:rsidR="009F0F21" w:rsidRPr="0010008C" w:rsidRDefault="005A7CEF" w:rsidP="009F0F21">
      <w:pPr>
        <w:keepLines/>
        <w:numPr>
          <w:ilvl w:val="0"/>
          <w:numId w:val="8"/>
        </w:numPr>
        <w:jc w:val="left"/>
      </w:pPr>
      <w:r>
        <w:t>vollständige Dokumentation dieser Qualitätssicherung.</w:t>
      </w:r>
      <w:r w:rsidR="009F0F21" w:rsidRPr="009F0F21">
        <w:t xml:space="preserve"> </w:t>
      </w:r>
    </w:p>
    <w:p w14:paraId="1BD9702B" w14:textId="4D4C911E" w:rsidR="00042B04" w:rsidRDefault="00042B04" w:rsidP="00406AB0">
      <w:r>
        <w:t xml:space="preserve">Durch den Auftragnehmer ist sicherzustellen, dass das Monitoring </w:t>
      </w:r>
      <w:r w:rsidR="00CB3D7B">
        <w:t xml:space="preserve">spätestens mit dem </w:t>
      </w:r>
      <w:r>
        <w:t>Zeitpunkt der Abnahme der gebäudetechnischen Gewerke vollständig umgesetzt ist</w:t>
      </w:r>
      <w:r w:rsidR="00634EF6">
        <w:t>,</w:t>
      </w:r>
      <w:r>
        <w:t xml:space="preserve"> die Aufzeichnung und Speicherung der Daten funktioniert</w:t>
      </w:r>
      <w:r w:rsidR="00A62FE2">
        <w:t xml:space="preserve"> und über die Dauer von 2 Jahre gewährleistet werden kann</w:t>
      </w:r>
      <w:r>
        <w:t xml:space="preserve">. </w:t>
      </w:r>
    </w:p>
    <w:p w14:paraId="7FB0D0D3" w14:textId="15DBFE94" w:rsidR="005A7CEF" w:rsidRDefault="005A7CEF" w:rsidP="00406AB0">
      <w:r>
        <w:t xml:space="preserve">Im Zuge des Monitoring-Zwischenberichts nach dem ersten </w:t>
      </w:r>
      <w:proofErr w:type="spellStart"/>
      <w:r>
        <w:t>Messjahr</w:t>
      </w:r>
      <w:proofErr w:type="spellEnd"/>
      <w:r>
        <w:t xml:space="preserve"> ist der Nachweis zu erbringen, dass </w:t>
      </w:r>
      <w:r w:rsidR="00CB3D7B">
        <w:t xml:space="preserve">zumindest </w:t>
      </w:r>
      <w:r>
        <w:t xml:space="preserve">über die ersten sechs Monate eine regelmäßige Überprüfung stattgefunden hat, dass eine </w:t>
      </w:r>
      <w:r w:rsidR="007F52C7">
        <w:t xml:space="preserve">gemäß </w:t>
      </w:r>
      <w:proofErr w:type="spellStart"/>
      <w:r w:rsidR="007F52C7">
        <w:t>Monitoringkonzept</w:t>
      </w:r>
      <w:proofErr w:type="spellEnd"/>
      <w:r w:rsidR="007F52C7">
        <w:t xml:space="preserve"> </w:t>
      </w:r>
      <w:r>
        <w:t xml:space="preserve">korrekte und vollständige Messung, Aufzeichnung und Übertragung der Daten erfolgt. </w:t>
      </w:r>
    </w:p>
    <w:p w14:paraId="3D481920" w14:textId="77777777" w:rsidR="00305A6B" w:rsidRDefault="00305A6B" w:rsidP="00406AB0"/>
    <w:p w14:paraId="0F509FB3" w14:textId="77777777" w:rsidR="00E32D80" w:rsidRDefault="00E32D80" w:rsidP="002756B2">
      <w:pPr>
        <w:pStyle w:val="berschrift2"/>
      </w:pPr>
      <w:bookmarkStart w:id="4" w:name="_Toc430627268"/>
      <w:r>
        <w:t>Zeitliche Messgenauigkeit</w:t>
      </w:r>
      <w:bookmarkEnd w:id="4"/>
    </w:p>
    <w:p w14:paraId="230B44EF" w14:textId="6AB57234" w:rsidR="00E32D80" w:rsidRDefault="00E32D80" w:rsidP="00E32D80">
      <w:r>
        <w:t>Von allen Messpunkten sind die Messwerte grundsätzlich im 15-Minuten-Intervall als Mittelwert oder als Summe über 2 Jahre aufzuzeichnen, zu dokumentieren und auf Anfrage dem Fördergeber zu übermitteln.</w:t>
      </w:r>
      <w:r w:rsidR="007600FC">
        <w:t xml:space="preserve"> Einzelne Messpunkte können in längerem Intervall erfasst werden, hier ist auch die Ablesung von Abrechnungszählern des EVU zulässig. Diese Messpunkte sind unter </w:t>
      </w:r>
      <w:r w:rsidR="007600FC">
        <w:fldChar w:fldCharType="begin"/>
      </w:r>
      <w:r w:rsidR="007600FC">
        <w:instrText xml:space="preserve"> REF _Ref430094353 \r \h </w:instrText>
      </w:r>
      <w:r w:rsidR="007600FC">
        <w:fldChar w:fldCharType="separate"/>
      </w:r>
      <w:r w:rsidR="00990BB2">
        <w:t>2.3</w:t>
      </w:r>
      <w:r w:rsidR="007600FC">
        <w:fldChar w:fldCharType="end"/>
      </w:r>
      <w:r w:rsidR="007600FC">
        <w:t xml:space="preserve"> gekennzeichnet. </w:t>
      </w:r>
      <w:r w:rsidR="0014229E">
        <w:t>Darüber hinaus ist es möglich</w:t>
      </w:r>
      <w:r w:rsidR="00634EF6">
        <w:t>,</w:t>
      </w:r>
      <w:r w:rsidR="0014229E">
        <w:t xml:space="preserve"> für einzelne Messpunkte temporäre Messungen durchzuführen, </w:t>
      </w:r>
      <w:r w:rsidR="00634EF6">
        <w:t xml:space="preserve">um </w:t>
      </w:r>
      <w:r w:rsidR="0014229E">
        <w:t>Aussagen über die Performance der eingesetzten Technologie zu</w:t>
      </w:r>
      <w:r w:rsidR="00634EF6">
        <w:t xml:space="preserve"> erlangen</w:t>
      </w:r>
      <w:r w:rsidR="0014229E">
        <w:t>.</w:t>
      </w:r>
    </w:p>
    <w:p w14:paraId="36F51956" w14:textId="77777777" w:rsidR="0086040F" w:rsidRDefault="0086040F">
      <w:pPr>
        <w:spacing w:after="0" w:line="240" w:lineRule="auto"/>
        <w:jc w:val="left"/>
        <w:rPr>
          <w:rFonts w:cs="Arial"/>
          <w:b/>
          <w:bCs/>
          <w:iCs/>
          <w:sz w:val="28"/>
          <w:szCs w:val="28"/>
        </w:rPr>
      </w:pPr>
      <w:bookmarkStart w:id="5" w:name="_Toc430627269"/>
      <w:r>
        <w:br w:type="page"/>
      </w:r>
    </w:p>
    <w:p w14:paraId="0260536E" w14:textId="584A56E9" w:rsidR="00E32D80" w:rsidRDefault="00E32D80" w:rsidP="002756B2">
      <w:pPr>
        <w:pStyle w:val="berschrift2"/>
      </w:pPr>
      <w:r>
        <w:lastRenderedPageBreak/>
        <w:t>Datenformat</w:t>
      </w:r>
      <w:bookmarkEnd w:id="5"/>
    </w:p>
    <w:p w14:paraId="063F9EF9" w14:textId="7E9702A8" w:rsidR="00010A84" w:rsidRPr="003A20EC" w:rsidRDefault="00E32D80" w:rsidP="001C057F">
      <w:r>
        <w:t xml:space="preserve">Messdaten müssen in einem offenen, technologieunabhängigen Format gespeichert werden. Die Übergabe der Messwerte und Auswertungsergebnisse an den Fördergeber hat ebenfalls in einem offenen, technologieunabhängigen Datenformat zu erfolgen. </w:t>
      </w:r>
      <w:r w:rsidR="001C057F">
        <w:t xml:space="preserve">Die Export-Datei ist nach folgendem Schema zu gliedern: </w:t>
      </w:r>
    </w:p>
    <w:p w14:paraId="51C27240" w14:textId="77777777" w:rsidR="00010A84" w:rsidRDefault="00010A84" w:rsidP="00010A84">
      <w:pPr>
        <w:keepNext/>
      </w:pPr>
      <w:r>
        <w:rPr>
          <w:noProof/>
          <w:lang w:eastAsia="zh-CN"/>
        </w:rPr>
        <w:drawing>
          <wp:inline distT="0" distB="0" distL="0" distR="0" wp14:anchorId="1C609C70" wp14:editId="415E4250">
            <wp:extent cx="5760720" cy="18376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0720" cy="1837690"/>
                    </a:xfrm>
                    <a:prstGeom prst="rect">
                      <a:avLst/>
                    </a:prstGeom>
                  </pic:spPr>
                </pic:pic>
              </a:graphicData>
            </a:graphic>
          </wp:inline>
        </w:drawing>
      </w:r>
    </w:p>
    <w:p w14:paraId="2BA5D924" w14:textId="77777777" w:rsidR="00010A84" w:rsidRDefault="00010A84" w:rsidP="00010A84">
      <w:pPr>
        <w:pStyle w:val="Beschriftung"/>
      </w:pPr>
      <w:bookmarkStart w:id="6" w:name="_Ref398030623"/>
      <w:r>
        <w:t xml:space="preserve">Abbildung </w:t>
      </w:r>
      <w:r w:rsidR="00E716AD">
        <w:fldChar w:fldCharType="begin"/>
      </w:r>
      <w:r w:rsidR="00E716AD">
        <w:instrText xml:space="preserve"> SEQ Abbildung \* ARABIC </w:instrText>
      </w:r>
      <w:r w:rsidR="00E716AD">
        <w:fldChar w:fldCharType="separate"/>
      </w:r>
      <w:r w:rsidR="00990BB2">
        <w:rPr>
          <w:noProof/>
        </w:rPr>
        <w:t>1</w:t>
      </w:r>
      <w:r w:rsidR="00E716AD">
        <w:rPr>
          <w:noProof/>
        </w:rPr>
        <w:fldChar w:fldCharType="end"/>
      </w:r>
      <w:bookmarkEnd w:id="6"/>
      <w:r>
        <w:t xml:space="preserve">: Struktur </w:t>
      </w:r>
      <w:proofErr w:type="spellStart"/>
      <w:r>
        <w:t>csv</w:t>
      </w:r>
      <w:proofErr w:type="spellEnd"/>
      <w:r>
        <w:t>-Datei in Excel</w:t>
      </w:r>
    </w:p>
    <w:p w14:paraId="14881665" w14:textId="77777777" w:rsidR="00010A84" w:rsidRPr="00B87A2F" w:rsidRDefault="00010A84" w:rsidP="00010A84"/>
    <w:p w14:paraId="43CFCBC6" w14:textId="122C7EC9" w:rsidR="00010A84" w:rsidRPr="003A20EC" w:rsidRDefault="00010A84" w:rsidP="00010A84">
      <w:r w:rsidRPr="003A20EC">
        <w:t xml:space="preserve">Die </w:t>
      </w:r>
      <w:proofErr w:type="spellStart"/>
      <w:r w:rsidRPr="003A20EC">
        <w:t>csv</w:t>
      </w:r>
      <w:proofErr w:type="spellEnd"/>
      <w:r w:rsidRPr="003A20EC">
        <w:t>-Datei darf keine Zeilenumbrüche innerhalb einer Zelle (z.B. Steuerzeichen „</w:t>
      </w:r>
      <w:proofErr w:type="spellStart"/>
      <w:r w:rsidRPr="003A20EC">
        <w:t>Linefeet</w:t>
      </w:r>
      <w:proofErr w:type="spellEnd"/>
      <w:r w:rsidRPr="003A20EC">
        <w:t xml:space="preserve">“) o.ä. enthalten. Eine Anzeige der Datei in einem Editor oder z.B. </w:t>
      </w:r>
      <w:r w:rsidR="004D7E64">
        <w:t xml:space="preserve">MS </w:t>
      </w:r>
      <w:r w:rsidRPr="003A20EC">
        <w:t xml:space="preserve">Excel muss der </w:t>
      </w:r>
      <w:r>
        <w:t xml:space="preserve">in </w:t>
      </w:r>
      <w:r>
        <w:fldChar w:fldCharType="begin"/>
      </w:r>
      <w:r>
        <w:instrText xml:space="preserve"> REF _Ref398030623 \h  \* MERGEFORMAT </w:instrText>
      </w:r>
      <w:r>
        <w:fldChar w:fldCharType="separate"/>
      </w:r>
      <w:r w:rsidR="00990BB2">
        <w:t>Abbildung 1</w:t>
      </w:r>
      <w:r>
        <w:fldChar w:fldCharType="end"/>
      </w:r>
      <w:r>
        <w:t xml:space="preserve"> </w:t>
      </w:r>
      <w:r w:rsidRPr="003A20EC">
        <w:t>dargestellten Struktur entsprechen.</w:t>
      </w:r>
    </w:p>
    <w:p w14:paraId="15C955C8" w14:textId="77777777" w:rsidR="00010A84" w:rsidRPr="003A20EC" w:rsidRDefault="00010A84" w:rsidP="00010A84">
      <w:r>
        <w:t xml:space="preserve">Folgende Zeilen sind im Kopf der Datei mindestens darzustellen (siehe auch </w:t>
      </w:r>
      <w:r w:rsidRPr="003A20EC">
        <w:t xml:space="preserve">Kopf </w:t>
      </w:r>
      <w:r>
        <w:t>des Beispiels):</w:t>
      </w:r>
    </w:p>
    <w:p w14:paraId="67EC8DE1" w14:textId="77777777" w:rsidR="00010A84" w:rsidRPr="003A20EC" w:rsidRDefault="00010A84" w:rsidP="00010A84">
      <w:pPr>
        <w:pStyle w:val="berschrift6"/>
      </w:pPr>
      <w:r w:rsidRPr="003A20EC">
        <w:t>Pflichtfelder:</w:t>
      </w:r>
    </w:p>
    <w:p w14:paraId="790BE1BA" w14:textId="2353549D" w:rsidR="00010A84" w:rsidRDefault="00010A84" w:rsidP="00010A84">
      <w:pPr>
        <w:pStyle w:val="AufzhlungListe"/>
        <w:numPr>
          <w:ilvl w:val="0"/>
          <w:numId w:val="26"/>
        </w:numPr>
      </w:pPr>
      <w:r w:rsidRPr="003A20EC">
        <w:t xml:space="preserve">Die </w:t>
      </w:r>
      <w:r w:rsidR="004D7E64">
        <w:t xml:space="preserve">Kopfzeile </w:t>
      </w:r>
      <w:r w:rsidRPr="003A20EC">
        <w:t>muss in jeder Spalte die eindeutige Datenpunktadresse enthalten, unter der der Datenpunkt später übergeben wird.</w:t>
      </w:r>
      <w:r>
        <w:t xml:space="preserve"> </w:t>
      </w:r>
    </w:p>
    <w:p w14:paraId="57DF997A" w14:textId="77777777" w:rsidR="00010A84" w:rsidRDefault="00010A84" w:rsidP="00010A84">
      <w:pPr>
        <w:pStyle w:val="AufzhlungListe"/>
        <w:numPr>
          <w:ilvl w:val="0"/>
          <w:numId w:val="26"/>
        </w:numPr>
      </w:pPr>
      <w:r>
        <w:t>Die Zeile Kurztext (bis 40 Zeichen) enthält b</w:t>
      </w:r>
      <w:r w:rsidRPr="003A20EC">
        <w:t>eliebige textliche Informationen zum D</w:t>
      </w:r>
      <w:r>
        <w:t>atenpunkt als Klartext</w:t>
      </w:r>
      <w:r w:rsidRPr="003A20EC">
        <w:t>.</w:t>
      </w:r>
    </w:p>
    <w:p w14:paraId="380FAF5E" w14:textId="77777777" w:rsidR="00010A84" w:rsidRPr="003A20EC" w:rsidRDefault="00010A84" w:rsidP="00010A84">
      <w:pPr>
        <w:pStyle w:val="AufzhlungListe"/>
        <w:numPr>
          <w:ilvl w:val="0"/>
          <w:numId w:val="26"/>
        </w:numPr>
      </w:pPr>
      <w:r>
        <w:t xml:space="preserve">Die Zeile </w:t>
      </w:r>
      <w:proofErr w:type="spellStart"/>
      <w:r>
        <w:t>Langtext</w:t>
      </w:r>
      <w:proofErr w:type="spellEnd"/>
      <w:r>
        <w:t xml:space="preserve"> enthält b</w:t>
      </w:r>
      <w:r w:rsidRPr="003A20EC">
        <w:t>eliebige textliche Informationen zum D</w:t>
      </w:r>
      <w:r>
        <w:t>atenpunkt als Klartext</w:t>
      </w:r>
      <w:r w:rsidRPr="003A20EC">
        <w:t>.</w:t>
      </w:r>
    </w:p>
    <w:p w14:paraId="4CC77F04" w14:textId="77777777" w:rsidR="00010A84" w:rsidRDefault="00010A84" w:rsidP="00010A84">
      <w:pPr>
        <w:pStyle w:val="AufzhlungListe"/>
        <w:numPr>
          <w:ilvl w:val="0"/>
          <w:numId w:val="26"/>
        </w:numPr>
      </w:pPr>
      <w:r>
        <w:t>Die Zeile Einheit</w:t>
      </w:r>
      <w:r w:rsidRPr="003A20EC">
        <w:t xml:space="preserve"> muss in jeder Spalte die Einheit des Datenpunkts enthalten (für Stellbefehle oder Betriebszustände können „off“/„on“ oder „0“/„1“</w:t>
      </w:r>
      <w:r>
        <w:t xml:space="preserve"> verwendet werden)</w:t>
      </w:r>
    </w:p>
    <w:p w14:paraId="6D2AAA32" w14:textId="77777777" w:rsidR="00010A84" w:rsidRDefault="00010A84" w:rsidP="00E32D80"/>
    <w:p w14:paraId="20B65E3C" w14:textId="51AD0447" w:rsidR="007F52C7" w:rsidRDefault="007F52C7" w:rsidP="002756B2">
      <w:pPr>
        <w:pStyle w:val="berschrift2"/>
      </w:pPr>
      <w:bookmarkStart w:id="7" w:name="_Ref430094353"/>
      <w:bookmarkStart w:id="8" w:name="_Toc430627270"/>
      <w:r>
        <w:lastRenderedPageBreak/>
        <w:t>Messparameter</w:t>
      </w:r>
      <w:bookmarkEnd w:id="7"/>
      <w:bookmarkEnd w:id="8"/>
    </w:p>
    <w:p w14:paraId="0185CCF8" w14:textId="4BD8410F" w:rsidR="009F0F21" w:rsidRDefault="00AC7376" w:rsidP="009F0F21">
      <w:pPr>
        <w:rPr>
          <w:rFonts w:cs="Arial"/>
        </w:rPr>
      </w:pPr>
      <w:r>
        <w:rPr>
          <w:rFonts w:cs="Arial"/>
        </w:rPr>
        <w:t>I</w:t>
      </w:r>
      <w:r w:rsidR="00BB0A4D">
        <w:rPr>
          <w:rFonts w:cs="Arial"/>
        </w:rPr>
        <w:t xml:space="preserve">m Zuge des Monitorings </w:t>
      </w:r>
      <w:r>
        <w:rPr>
          <w:rFonts w:cs="Arial"/>
        </w:rPr>
        <w:t xml:space="preserve">sind </w:t>
      </w:r>
      <w:r w:rsidR="009F0F21">
        <w:rPr>
          <w:rFonts w:cs="Arial"/>
        </w:rPr>
        <w:t xml:space="preserve">jene Parameter nachzuweisen, die im Projektantrag als Grundlage für die </w:t>
      </w:r>
      <w:r w:rsidR="00754179">
        <w:rPr>
          <w:rFonts w:cs="Arial"/>
        </w:rPr>
        <w:t>Fördere</w:t>
      </w:r>
      <w:r w:rsidR="009F0F21">
        <w:rPr>
          <w:rFonts w:cs="Arial"/>
        </w:rPr>
        <w:t>ntscheidung dienten</w:t>
      </w:r>
      <w:r w:rsidR="00BB0A4D">
        <w:rPr>
          <w:rFonts w:cs="Arial"/>
        </w:rPr>
        <w:t>. Grundsätzlich umfasst dies die</w:t>
      </w:r>
    </w:p>
    <w:p w14:paraId="051503B0" w14:textId="3B09A827" w:rsidR="009F0F21" w:rsidRPr="00AD52C7" w:rsidRDefault="009F0F21" w:rsidP="009F0F21">
      <w:pPr>
        <w:keepLines/>
        <w:numPr>
          <w:ilvl w:val="0"/>
          <w:numId w:val="8"/>
        </w:numPr>
        <w:jc w:val="left"/>
      </w:pPr>
      <w:r>
        <w:rPr>
          <w:rFonts w:cs="Arial"/>
        </w:rPr>
        <w:t xml:space="preserve">Energieverbräuche </w:t>
      </w:r>
      <w:r w:rsidR="00B13663">
        <w:rPr>
          <w:rFonts w:cs="Arial"/>
        </w:rPr>
        <w:t xml:space="preserve">und Energieversorgung </w:t>
      </w:r>
      <w:r w:rsidR="008D54D5">
        <w:rPr>
          <w:rFonts w:cs="Arial"/>
        </w:rPr>
        <w:t>des Gebäudes</w:t>
      </w:r>
      <w:r w:rsidR="00AC7376">
        <w:rPr>
          <w:rFonts w:cs="Arial"/>
        </w:rPr>
        <w:t xml:space="preserve"> bzw. </w:t>
      </w:r>
      <w:r w:rsidR="008D54D5">
        <w:rPr>
          <w:rFonts w:cs="Arial"/>
        </w:rPr>
        <w:t>Stadtteils</w:t>
      </w:r>
      <w:r>
        <w:rPr>
          <w:rFonts w:cs="Arial"/>
        </w:rPr>
        <w:t xml:space="preserve">, gegliedert nach Energieträgern und Nutzungen </w:t>
      </w:r>
      <w:r w:rsidR="00B13663">
        <w:rPr>
          <w:rFonts w:cs="Arial"/>
        </w:rPr>
        <w:t xml:space="preserve">(Im </w:t>
      </w:r>
      <w:proofErr w:type="spellStart"/>
      <w:r w:rsidR="00B13663">
        <w:rPr>
          <w:rFonts w:cs="Arial"/>
        </w:rPr>
        <w:t>Monitoringbericht</w:t>
      </w:r>
      <w:proofErr w:type="spellEnd"/>
      <w:r w:rsidR="00B13663">
        <w:rPr>
          <w:rFonts w:cs="Arial"/>
        </w:rPr>
        <w:t xml:space="preserve"> ist eine Energiebilanz darzustellen)</w:t>
      </w:r>
      <w:r w:rsidR="00AC7376">
        <w:rPr>
          <w:rFonts w:cs="Arial"/>
        </w:rPr>
        <w:t xml:space="preserve"> </w:t>
      </w:r>
      <w:r w:rsidR="00BB0A4D">
        <w:rPr>
          <w:rFonts w:cs="Arial"/>
        </w:rPr>
        <w:t>und</w:t>
      </w:r>
    </w:p>
    <w:p w14:paraId="123B3642" w14:textId="4244B4DD" w:rsidR="009F0F21" w:rsidRPr="0010008C" w:rsidRDefault="009F0F21" w:rsidP="009F0F21">
      <w:pPr>
        <w:keepLines/>
        <w:numPr>
          <w:ilvl w:val="0"/>
          <w:numId w:val="8"/>
        </w:numPr>
        <w:jc w:val="left"/>
      </w:pPr>
      <w:r>
        <w:rPr>
          <w:rFonts w:cs="Arial"/>
        </w:rPr>
        <w:t>Performanceparameter für einzelne innovative Elemente</w:t>
      </w:r>
      <w:r w:rsidR="00754179">
        <w:rPr>
          <w:rFonts w:cs="Arial"/>
        </w:rPr>
        <w:t xml:space="preserve"> (</w:t>
      </w:r>
      <w:r w:rsidR="008D54D5">
        <w:rPr>
          <w:rFonts w:cs="Arial"/>
        </w:rPr>
        <w:t>für die innovative</w:t>
      </w:r>
      <w:r w:rsidR="00A62FE2">
        <w:rPr>
          <w:rFonts w:cs="Arial"/>
        </w:rPr>
        <w:t>n</w:t>
      </w:r>
      <w:r w:rsidR="008D54D5">
        <w:rPr>
          <w:rFonts w:cs="Arial"/>
        </w:rPr>
        <w:t xml:space="preserve"> </w:t>
      </w:r>
      <w:r w:rsidR="00A62FE2">
        <w:rPr>
          <w:rFonts w:cs="Arial"/>
        </w:rPr>
        <w:t>Elemente</w:t>
      </w:r>
      <w:r w:rsidR="008D54D5">
        <w:rPr>
          <w:rFonts w:cs="Arial"/>
        </w:rPr>
        <w:t xml:space="preserve"> </w:t>
      </w:r>
      <w:r w:rsidR="00754179">
        <w:rPr>
          <w:rFonts w:cs="Arial"/>
        </w:rPr>
        <w:t>lt. Antrag</w:t>
      </w:r>
      <w:r w:rsidR="008D54D5">
        <w:rPr>
          <w:rFonts w:cs="Arial"/>
        </w:rPr>
        <w:t xml:space="preserve"> muss </w:t>
      </w:r>
      <w:r w:rsidR="00A62FE2">
        <w:rPr>
          <w:rFonts w:cs="Arial"/>
        </w:rPr>
        <w:t xml:space="preserve">die Funktionsfähigkeit </w:t>
      </w:r>
      <w:r w:rsidR="00AC7376">
        <w:rPr>
          <w:rFonts w:cs="Arial"/>
        </w:rPr>
        <w:t xml:space="preserve">und Performance </w:t>
      </w:r>
      <w:r w:rsidR="00A62FE2">
        <w:rPr>
          <w:rFonts w:cs="Arial"/>
        </w:rPr>
        <w:t xml:space="preserve">im Betrieb </w:t>
      </w:r>
      <w:r w:rsidR="008D54D5">
        <w:rPr>
          <w:rFonts w:cs="Arial"/>
        </w:rPr>
        <w:t>nachgewiesen werden</w:t>
      </w:r>
      <w:r w:rsidR="00754179">
        <w:rPr>
          <w:rFonts w:cs="Arial"/>
        </w:rPr>
        <w:t>)</w:t>
      </w:r>
    </w:p>
    <w:p w14:paraId="049D2D3F" w14:textId="77777777" w:rsidR="009F0F21" w:rsidRDefault="009F0F21" w:rsidP="009F0F21">
      <w:pPr>
        <w:rPr>
          <w:rFonts w:cs="Arial"/>
        </w:rPr>
      </w:pPr>
      <w:r>
        <w:rPr>
          <w:rFonts w:cs="Arial"/>
        </w:rPr>
        <w:t xml:space="preserve">sowie </w:t>
      </w:r>
    </w:p>
    <w:p w14:paraId="1CDD84FD" w14:textId="171D447B" w:rsidR="009F0F21" w:rsidRPr="00AD52C7" w:rsidRDefault="009F0F21" w:rsidP="009F0F21">
      <w:pPr>
        <w:keepLines/>
        <w:numPr>
          <w:ilvl w:val="0"/>
          <w:numId w:val="8"/>
        </w:numPr>
        <w:jc w:val="left"/>
      </w:pPr>
      <w:r>
        <w:rPr>
          <w:rFonts w:cs="Arial"/>
        </w:rPr>
        <w:t>quantitative Komfortparameter (Temp</w:t>
      </w:r>
      <w:r w:rsidR="00D65D5B">
        <w:rPr>
          <w:rFonts w:cs="Arial"/>
        </w:rPr>
        <w:t>eratur</w:t>
      </w:r>
      <w:r>
        <w:rPr>
          <w:rFonts w:cs="Arial"/>
        </w:rPr>
        <w:t>, Luftfeuchte, CO</w:t>
      </w:r>
      <w:r w:rsidRPr="00540248">
        <w:rPr>
          <w:rFonts w:cs="Arial"/>
          <w:vertAlign w:val="subscript"/>
        </w:rPr>
        <w:t>2</w:t>
      </w:r>
      <w:r>
        <w:rPr>
          <w:rFonts w:cs="Arial"/>
        </w:rPr>
        <w:t>) in ausgewählten, repräsentativen Nutzungseinheiten</w:t>
      </w:r>
      <w:r w:rsidR="008D54D5">
        <w:rPr>
          <w:rFonts w:cs="Arial"/>
        </w:rPr>
        <w:t xml:space="preserve"> (mind. 5 % der Nutz</w:t>
      </w:r>
      <w:r w:rsidR="00540248">
        <w:rPr>
          <w:rFonts w:cs="Arial"/>
        </w:rPr>
        <w:t>ungs</w:t>
      </w:r>
      <w:r w:rsidR="005E27AB">
        <w:rPr>
          <w:rFonts w:cs="Arial"/>
        </w:rPr>
        <w:t>einheiten</w:t>
      </w:r>
      <w:r w:rsidR="008D54D5">
        <w:rPr>
          <w:rFonts w:cs="Arial"/>
        </w:rPr>
        <w:t>)</w:t>
      </w:r>
      <w:r w:rsidR="00D65D5B">
        <w:rPr>
          <w:rFonts w:cs="Arial"/>
        </w:rPr>
        <w:t>.</w:t>
      </w:r>
      <w:r w:rsidR="00540248">
        <w:rPr>
          <w:rFonts w:cs="Arial"/>
        </w:rPr>
        <w:t xml:space="preserve"> Die ausgewählten Nutzungseinheiten sollen einen Mindestanteil von 5% der gesamten Nutzfläche repräsentieren. </w:t>
      </w:r>
    </w:p>
    <w:p w14:paraId="2C8E2C09" w14:textId="77777777" w:rsidR="00BB0A4D" w:rsidRPr="00B76074" w:rsidRDefault="00BB0A4D" w:rsidP="00540248">
      <w:pPr>
        <w:keepLines/>
        <w:jc w:val="left"/>
      </w:pPr>
    </w:p>
    <w:p w14:paraId="4F433F14" w14:textId="38DB5A97" w:rsidR="00B76074" w:rsidRDefault="00B76074" w:rsidP="00406AB0">
      <w:pPr>
        <w:rPr>
          <w:szCs w:val="22"/>
        </w:rPr>
      </w:pPr>
      <w:r w:rsidRPr="00AE1367">
        <w:rPr>
          <w:b/>
          <w:szCs w:val="22"/>
        </w:rPr>
        <w:t>Energieverbräuch</w:t>
      </w:r>
      <w:r w:rsidR="00AE1367" w:rsidRPr="00AE1367">
        <w:rPr>
          <w:b/>
          <w:szCs w:val="22"/>
        </w:rPr>
        <w:t>e</w:t>
      </w:r>
      <w:r w:rsidRPr="00AE1367">
        <w:rPr>
          <w:b/>
          <w:szCs w:val="22"/>
        </w:rPr>
        <w:t xml:space="preserve"> </w:t>
      </w:r>
      <w:r w:rsidR="00AE1367" w:rsidRPr="00AE1367">
        <w:rPr>
          <w:b/>
          <w:szCs w:val="22"/>
        </w:rPr>
        <w:t>bzw. Erträge</w:t>
      </w:r>
      <w:r w:rsidR="00AE1367">
        <w:rPr>
          <w:szCs w:val="22"/>
        </w:rPr>
        <w:t xml:space="preserve"> </w:t>
      </w:r>
      <w:r>
        <w:rPr>
          <w:szCs w:val="22"/>
        </w:rPr>
        <w:t xml:space="preserve">sind jedenfalls </w:t>
      </w:r>
      <w:r w:rsidR="00A62FE2">
        <w:rPr>
          <w:szCs w:val="22"/>
        </w:rPr>
        <w:t xml:space="preserve">für folgende Gewerke </w:t>
      </w:r>
      <w:r>
        <w:rPr>
          <w:szCs w:val="22"/>
        </w:rPr>
        <w:t>messtechnisch zu erfassen</w:t>
      </w:r>
      <w:r w:rsidR="00BB0A4D">
        <w:rPr>
          <w:szCs w:val="22"/>
        </w:rPr>
        <w:t>:</w:t>
      </w:r>
    </w:p>
    <w:p w14:paraId="3BE5DC1D" w14:textId="77777777" w:rsidR="00D65D5B" w:rsidRDefault="00D65D5B" w:rsidP="00B76074">
      <w:pPr>
        <w:rPr>
          <w:szCs w:val="22"/>
        </w:rPr>
      </w:pPr>
    </w:p>
    <w:p w14:paraId="61D7BD4D" w14:textId="5131AC7E" w:rsidR="00B76074" w:rsidRPr="00540248" w:rsidRDefault="00A62FE2" w:rsidP="00B76074">
      <w:pPr>
        <w:rPr>
          <w:b/>
          <w:szCs w:val="22"/>
        </w:rPr>
      </w:pPr>
      <w:r>
        <w:rPr>
          <w:b/>
          <w:szCs w:val="22"/>
        </w:rPr>
        <w:t>Wärmebereitstellung</w:t>
      </w:r>
    </w:p>
    <w:p w14:paraId="2BBA69E2" w14:textId="398332C7" w:rsidR="00B76074" w:rsidRPr="009734FC" w:rsidRDefault="00B76074" w:rsidP="00540248">
      <w:pPr>
        <w:keepLines/>
        <w:numPr>
          <w:ilvl w:val="0"/>
          <w:numId w:val="8"/>
        </w:numPr>
        <w:jc w:val="left"/>
      </w:pPr>
      <w:r w:rsidRPr="009734FC">
        <w:t>Endenergieinput zur Wärmebereitstellung Gesamt (je Erzeuger)</w:t>
      </w:r>
    </w:p>
    <w:p w14:paraId="64E3126F" w14:textId="64C01F72" w:rsidR="00B76074" w:rsidRPr="009734FC" w:rsidRDefault="00B76074" w:rsidP="00540248">
      <w:pPr>
        <w:keepLines/>
        <w:numPr>
          <w:ilvl w:val="0"/>
          <w:numId w:val="8"/>
        </w:numPr>
        <w:jc w:val="left"/>
      </w:pPr>
      <w:r w:rsidRPr="009734FC">
        <w:t>Nutzenergie Wärmebereitstellung (gegliedert nach Nutzungskategorien)</w:t>
      </w:r>
    </w:p>
    <w:p w14:paraId="7B8DA1AC" w14:textId="33C2237F" w:rsidR="00B20819" w:rsidRPr="009734FC" w:rsidRDefault="00B20819" w:rsidP="00B20819">
      <w:pPr>
        <w:keepLines/>
        <w:numPr>
          <w:ilvl w:val="0"/>
          <w:numId w:val="8"/>
        </w:numPr>
        <w:jc w:val="left"/>
      </w:pPr>
      <w:r>
        <w:t>Hilfsstrom für</w:t>
      </w:r>
      <w:r w:rsidRPr="009734FC">
        <w:t xml:space="preserve"> </w:t>
      </w:r>
      <w:r w:rsidR="00CB3D7B">
        <w:t xml:space="preserve">gesamte </w:t>
      </w:r>
      <w:r w:rsidRPr="009734FC">
        <w:t>Heizungsanlage (inkl. Umwälzpumpen)</w:t>
      </w:r>
      <w:r>
        <w:t xml:space="preserve"> (siehe auch Stromverbrauch)</w:t>
      </w:r>
    </w:p>
    <w:p w14:paraId="54023D97" w14:textId="4DBBC5C5" w:rsidR="0014229E" w:rsidRPr="009734FC" w:rsidRDefault="0014229E" w:rsidP="00540248">
      <w:pPr>
        <w:keepLines/>
        <w:numPr>
          <w:ilvl w:val="0"/>
          <w:numId w:val="8"/>
        </w:numPr>
        <w:jc w:val="left"/>
      </w:pPr>
      <w:r w:rsidRPr="009734FC">
        <w:t xml:space="preserve">Nutzenergie repräsentativer Nutzungseinheiten [mind. </w:t>
      </w:r>
      <w:r w:rsidR="00540248">
        <w:t>quartalsweise</w:t>
      </w:r>
      <w:r w:rsidRPr="009734FC">
        <w:t>]</w:t>
      </w:r>
    </w:p>
    <w:p w14:paraId="408049B8" w14:textId="379F05FC" w:rsidR="005E27AB" w:rsidRPr="009734FC" w:rsidRDefault="005E27AB" w:rsidP="00540248">
      <w:pPr>
        <w:keepLines/>
        <w:numPr>
          <w:ilvl w:val="0"/>
          <w:numId w:val="8"/>
        </w:numPr>
        <w:jc w:val="left"/>
      </w:pPr>
      <w:r w:rsidRPr="009734FC">
        <w:t>Energieträger Input (</w:t>
      </w:r>
      <w:proofErr w:type="spellStart"/>
      <w:r w:rsidRPr="009734FC">
        <w:t>z.B</w:t>
      </w:r>
      <w:proofErr w:type="spellEnd"/>
      <w:r w:rsidRPr="009734FC">
        <w:t xml:space="preserve"> kg Pellets, m³ Gas) [mind. </w:t>
      </w:r>
      <w:r w:rsidR="00540248">
        <w:t>quartalsweise</w:t>
      </w:r>
      <w:r w:rsidRPr="009734FC">
        <w:t>]</w:t>
      </w:r>
    </w:p>
    <w:p w14:paraId="7F5FA84E" w14:textId="77777777" w:rsidR="00BB0A4D" w:rsidRDefault="00BB0A4D" w:rsidP="00B76074">
      <w:pPr>
        <w:rPr>
          <w:szCs w:val="22"/>
        </w:rPr>
      </w:pPr>
    </w:p>
    <w:p w14:paraId="4E1DEBAF" w14:textId="4DEB370A" w:rsidR="00B76074" w:rsidRPr="00540248" w:rsidRDefault="00B76074" w:rsidP="00B76074">
      <w:pPr>
        <w:rPr>
          <w:b/>
          <w:szCs w:val="22"/>
        </w:rPr>
      </w:pPr>
      <w:r w:rsidRPr="00540248">
        <w:rPr>
          <w:b/>
          <w:szCs w:val="22"/>
        </w:rPr>
        <w:t>Warmwasserbereitung</w:t>
      </w:r>
    </w:p>
    <w:p w14:paraId="793FD860" w14:textId="16D233C9" w:rsidR="00B76074" w:rsidRPr="009734FC" w:rsidRDefault="00B76074" w:rsidP="00540248">
      <w:pPr>
        <w:keepLines/>
        <w:numPr>
          <w:ilvl w:val="0"/>
          <w:numId w:val="8"/>
        </w:numPr>
        <w:jc w:val="left"/>
      </w:pPr>
      <w:r w:rsidRPr="009734FC">
        <w:t>Endenergieinput zur Warmwasserbereitung Gesamt (gegliedert nach Nutzungskategorien)</w:t>
      </w:r>
    </w:p>
    <w:p w14:paraId="3F1FA202" w14:textId="53AB6807" w:rsidR="0014229E" w:rsidRPr="009734FC" w:rsidRDefault="0014229E" w:rsidP="00540248">
      <w:pPr>
        <w:keepLines/>
        <w:numPr>
          <w:ilvl w:val="0"/>
          <w:numId w:val="8"/>
        </w:numPr>
        <w:jc w:val="left"/>
      </w:pPr>
      <w:r w:rsidRPr="009734FC">
        <w:t xml:space="preserve">Verbrauch an Kaltwasser zur Warmwasserbereitung [mind. </w:t>
      </w:r>
      <w:r w:rsidR="00540248">
        <w:t>quartalsweise</w:t>
      </w:r>
      <w:r w:rsidRPr="009734FC">
        <w:t>]</w:t>
      </w:r>
    </w:p>
    <w:p w14:paraId="31333C0A" w14:textId="55C82A57" w:rsidR="00B76074" w:rsidRPr="009734FC" w:rsidRDefault="0014229E" w:rsidP="00540248">
      <w:pPr>
        <w:keepLines/>
        <w:numPr>
          <w:ilvl w:val="0"/>
          <w:numId w:val="8"/>
        </w:numPr>
        <w:jc w:val="left"/>
      </w:pPr>
      <w:r w:rsidRPr="009734FC">
        <w:t>Optional:</w:t>
      </w:r>
      <w:r w:rsidR="00B76074" w:rsidRPr="009734FC">
        <w:t xml:space="preserve"> Energiemenge Warmwasserzirkulation</w:t>
      </w:r>
    </w:p>
    <w:p w14:paraId="13C8B266" w14:textId="77777777" w:rsidR="00BB0A4D" w:rsidRPr="00AD52C7" w:rsidRDefault="00BB0A4D">
      <w:pPr>
        <w:rPr>
          <w:szCs w:val="22"/>
        </w:rPr>
      </w:pPr>
    </w:p>
    <w:p w14:paraId="191968A2" w14:textId="7B0D2EE2" w:rsidR="00B76074" w:rsidRPr="00540248" w:rsidRDefault="00B76074" w:rsidP="00B76074">
      <w:pPr>
        <w:rPr>
          <w:b/>
          <w:szCs w:val="22"/>
        </w:rPr>
      </w:pPr>
      <w:r w:rsidRPr="00540248">
        <w:rPr>
          <w:b/>
          <w:szCs w:val="22"/>
        </w:rPr>
        <w:lastRenderedPageBreak/>
        <w:t>Kälteanlagen</w:t>
      </w:r>
    </w:p>
    <w:p w14:paraId="7ECFD4AE" w14:textId="07F5E88E" w:rsidR="00B76074" w:rsidRPr="009734FC" w:rsidRDefault="00B76074" w:rsidP="00540248">
      <w:pPr>
        <w:keepLines/>
        <w:numPr>
          <w:ilvl w:val="0"/>
          <w:numId w:val="8"/>
        </w:numPr>
        <w:jc w:val="left"/>
      </w:pPr>
      <w:r w:rsidRPr="009734FC">
        <w:t>Endenergieinput zur Kaltwassererzeugung (je Erzeuger)</w:t>
      </w:r>
    </w:p>
    <w:p w14:paraId="3748E08B" w14:textId="4950ABF4" w:rsidR="00B76074" w:rsidRPr="009734FC" w:rsidRDefault="00B76074" w:rsidP="00540248">
      <w:pPr>
        <w:keepLines/>
        <w:numPr>
          <w:ilvl w:val="0"/>
          <w:numId w:val="8"/>
        </w:numPr>
        <w:jc w:val="left"/>
      </w:pPr>
      <w:r w:rsidRPr="009734FC">
        <w:t>Kaltwassertemperatur</w:t>
      </w:r>
      <w:r w:rsidR="0014229E" w:rsidRPr="009734FC">
        <w:t xml:space="preserve"> Vorlauf und Rücklauf</w:t>
      </w:r>
    </w:p>
    <w:p w14:paraId="23136773" w14:textId="3001A339" w:rsidR="00B76074" w:rsidRPr="00B20819" w:rsidRDefault="00B76074" w:rsidP="00B76074">
      <w:pPr>
        <w:rPr>
          <w:b/>
          <w:szCs w:val="22"/>
        </w:rPr>
      </w:pPr>
      <w:r w:rsidRPr="00B20819">
        <w:rPr>
          <w:b/>
          <w:szCs w:val="22"/>
        </w:rPr>
        <w:t>Stromverbrauch</w:t>
      </w:r>
    </w:p>
    <w:p w14:paraId="49E26523" w14:textId="275DDEAA" w:rsidR="00B76074" w:rsidRPr="009734FC" w:rsidRDefault="00B20819" w:rsidP="00B20819">
      <w:pPr>
        <w:keepLines/>
        <w:numPr>
          <w:ilvl w:val="0"/>
          <w:numId w:val="8"/>
        </w:numPr>
        <w:jc w:val="left"/>
      </w:pPr>
      <w:r>
        <w:t>Allgemeins</w:t>
      </w:r>
      <w:r w:rsidR="00B76074" w:rsidRPr="009734FC">
        <w:t>tromverbrauch getrennt für Allgemeinflächen</w:t>
      </w:r>
      <w:r>
        <w:t>,</w:t>
      </w:r>
      <w:r w:rsidR="00B76074" w:rsidRPr="009734FC">
        <w:t xml:space="preserve"> Aufzug</w:t>
      </w:r>
      <w:r>
        <w:t xml:space="preserve"> und Tiefgarage</w:t>
      </w:r>
    </w:p>
    <w:p w14:paraId="2511359B" w14:textId="7C00021C" w:rsidR="00B20819" w:rsidRPr="009734FC" w:rsidRDefault="00B20819" w:rsidP="00B20819">
      <w:pPr>
        <w:keepLines/>
        <w:numPr>
          <w:ilvl w:val="0"/>
          <w:numId w:val="8"/>
        </w:numPr>
        <w:jc w:val="left"/>
      </w:pPr>
      <w:r w:rsidRPr="009734FC">
        <w:t>Hilfsstrom</w:t>
      </w:r>
      <w:r>
        <w:t xml:space="preserve"> für</w:t>
      </w:r>
      <w:r w:rsidRPr="009734FC">
        <w:t xml:space="preserve"> Heizungsanlage (inkl. Umwälzpumpen)</w:t>
      </w:r>
    </w:p>
    <w:p w14:paraId="20425021" w14:textId="3265BF00" w:rsidR="00B20819" w:rsidRPr="009734FC" w:rsidRDefault="00B20819" w:rsidP="00B20819">
      <w:pPr>
        <w:keepLines/>
        <w:numPr>
          <w:ilvl w:val="0"/>
          <w:numId w:val="8"/>
        </w:numPr>
        <w:jc w:val="left"/>
      </w:pPr>
      <w:r>
        <w:t>Stromaufnahme Lüftungsanlage</w:t>
      </w:r>
    </w:p>
    <w:p w14:paraId="58914194" w14:textId="5733E836" w:rsidR="0014229E" w:rsidRPr="009734FC" w:rsidRDefault="00B76074" w:rsidP="00B20819">
      <w:pPr>
        <w:keepLines/>
        <w:numPr>
          <w:ilvl w:val="0"/>
          <w:numId w:val="8"/>
        </w:numPr>
        <w:jc w:val="left"/>
      </w:pPr>
      <w:r w:rsidRPr="009734FC">
        <w:t>Gesamtstromverbrauch in Wohngebäuden (Summe Haushalte)</w:t>
      </w:r>
      <w:r w:rsidR="0014229E" w:rsidRPr="009734FC">
        <w:t xml:space="preserve"> [mind. </w:t>
      </w:r>
      <w:r w:rsidR="00540248">
        <w:t>quartalsweise</w:t>
      </w:r>
      <w:r w:rsidR="0014229E" w:rsidRPr="009734FC">
        <w:t>]</w:t>
      </w:r>
    </w:p>
    <w:p w14:paraId="21E29962" w14:textId="5C724F5E" w:rsidR="00B76074" w:rsidRDefault="00B76074" w:rsidP="00B20819">
      <w:pPr>
        <w:keepLines/>
        <w:numPr>
          <w:ilvl w:val="0"/>
          <w:numId w:val="8"/>
        </w:numPr>
        <w:jc w:val="left"/>
      </w:pPr>
      <w:r w:rsidRPr="009734FC">
        <w:t>Stromverbrauch in Nichtwohngebäuden</w:t>
      </w:r>
      <w:r w:rsidR="0014229E" w:rsidRPr="009734FC">
        <w:t xml:space="preserve"> (für jede Nutzungskategorie) [mind. </w:t>
      </w:r>
      <w:r w:rsidR="00540248">
        <w:t>quartalsweise</w:t>
      </w:r>
      <w:r w:rsidR="0014229E" w:rsidRPr="009734FC">
        <w:t>]</w:t>
      </w:r>
    </w:p>
    <w:p w14:paraId="4AFB7B19" w14:textId="5738DCD8" w:rsidR="00B76074" w:rsidRPr="009734FC" w:rsidRDefault="00B76074" w:rsidP="00B20819">
      <w:pPr>
        <w:keepLines/>
        <w:numPr>
          <w:ilvl w:val="0"/>
          <w:numId w:val="8"/>
        </w:numPr>
        <w:jc w:val="left"/>
      </w:pPr>
      <w:r w:rsidRPr="009734FC">
        <w:t xml:space="preserve">Stromverbrauch </w:t>
      </w:r>
      <w:r w:rsidR="00B20819">
        <w:t>von relevanten Sondera</w:t>
      </w:r>
      <w:r w:rsidRPr="009734FC">
        <w:t>nlagen</w:t>
      </w:r>
      <w:r w:rsidR="00B20819">
        <w:t xml:space="preserve"> (wie z.B. Betriebsküche, Rechenzentrum bzw. zentraler Server, Medienfassade</w:t>
      </w:r>
      <w:r w:rsidR="00F20B1B">
        <w:t>,</w:t>
      </w:r>
      <w:r w:rsidR="00B20819">
        <w:t xml:space="preserve"> etc.) sind ebenfalls getrennt zu erfassen.</w:t>
      </w:r>
    </w:p>
    <w:p w14:paraId="43C65BBE" w14:textId="77777777" w:rsidR="00B76074" w:rsidRDefault="00B76074" w:rsidP="00B76074">
      <w:pPr>
        <w:rPr>
          <w:szCs w:val="22"/>
        </w:rPr>
      </w:pPr>
    </w:p>
    <w:p w14:paraId="3613114B" w14:textId="4AA5F36A" w:rsidR="007600FC" w:rsidRPr="00B20819" w:rsidRDefault="007600FC" w:rsidP="00B76074">
      <w:pPr>
        <w:rPr>
          <w:b/>
          <w:szCs w:val="22"/>
        </w:rPr>
      </w:pPr>
      <w:r w:rsidRPr="00B20819">
        <w:rPr>
          <w:b/>
          <w:szCs w:val="22"/>
        </w:rPr>
        <w:t>Aus</w:t>
      </w:r>
      <w:r>
        <w:rPr>
          <w:b/>
          <w:szCs w:val="22"/>
        </w:rPr>
        <w:t>s</w:t>
      </w:r>
      <w:r w:rsidRPr="00B20819">
        <w:rPr>
          <w:b/>
          <w:szCs w:val="22"/>
        </w:rPr>
        <w:t>enklima</w:t>
      </w:r>
      <w:r>
        <w:rPr>
          <w:b/>
          <w:szCs w:val="22"/>
        </w:rPr>
        <w:t>:</w:t>
      </w:r>
    </w:p>
    <w:p w14:paraId="24F6233B" w14:textId="74904902" w:rsidR="007600FC" w:rsidRPr="009734FC" w:rsidRDefault="007600FC" w:rsidP="00B20819">
      <w:pPr>
        <w:keepLines/>
        <w:numPr>
          <w:ilvl w:val="0"/>
          <w:numId w:val="8"/>
        </w:numPr>
        <w:jc w:val="left"/>
      </w:pPr>
      <w:r w:rsidRPr="009734FC">
        <w:t>Außenlufttemperatur und Luftfeuchte, Optional Windgeschwindigkeit und Solareinstrahlung</w:t>
      </w:r>
    </w:p>
    <w:p w14:paraId="68FE11DE" w14:textId="77777777" w:rsidR="007600FC" w:rsidRPr="00B76074" w:rsidRDefault="007600FC" w:rsidP="00B76074">
      <w:pPr>
        <w:rPr>
          <w:szCs w:val="22"/>
        </w:rPr>
      </w:pPr>
    </w:p>
    <w:p w14:paraId="266DE5C7" w14:textId="4BDA05F8" w:rsidR="00042B04" w:rsidRPr="002E6D5A" w:rsidRDefault="00042B04" w:rsidP="00406AB0">
      <w:pPr>
        <w:rPr>
          <w:b/>
        </w:rPr>
      </w:pPr>
      <w:r w:rsidRPr="002E6D5A">
        <w:rPr>
          <w:b/>
        </w:rPr>
        <w:t>Beispiele für das Monitoring von Performancekriterien innovativer Elemente</w:t>
      </w:r>
    </w:p>
    <w:p w14:paraId="39694330" w14:textId="77777777" w:rsidR="00BB0A4D" w:rsidRDefault="00BB0A4D" w:rsidP="00406AB0"/>
    <w:p w14:paraId="6114BC16" w14:textId="714A6012" w:rsidR="00042B04" w:rsidRPr="002E6D5A" w:rsidRDefault="00042B04" w:rsidP="00406AB0">
      <w:pPr>
        <w:rPr>
          <w:b/>
        </w:rPr>
      </w:pPr>
      <w:r w:rsidRPr="002E6D5A">
        <w:rPr>
          <w:b/>
        </w:rPr>
        <w:t>Beispiel 1 Raumlufttechnische Anlage mit Wärmerückgewinnung</w:t>
      </w:r>
    </w:p>
    <w:p w14:paraId="73808C0E" w14:textId="045D2E75" w:rsidR="00042B04" w:rsidRDefault="00042B04" w:rsidP="002E6D5A">
      <w:pPr>
        <w:keepLines/>
        <w:numPr>
          <w:ilvl w:val="0"/>
          <w:numId w:val="8"/>
        </w:numPr>
        <w:jc w:val="left"/>
      </w:pPr>
      <w:r>
        <w:t>Stromaufnahme Lüftungsanlage</w:t>
      </w:r>
      <w:r w:rsidR="00B20819">
        <w:t xml:space="preserve"> (siehe auch Stromverbrauch)</w:t>
      </w:r>
    </w:p>
    <w:p w14:paraId="2589DCCA" w14:textId="0692879C" w:rsidR="00042B04" w:rsidRDefault="0014229E" w:rsidP="002E6D5A">
      <w:pPr>
        <w:keepLines/>
        <w:numPr>
          <w:ilvl w:val="0"/>
          <w:numId w:val="8"/>
        </w:numPr>
        <w:jc w:val="left"/>
      </w:pPr>
      <w:r>
        <w:t xml:space="preserve">Optional: </w:t>
      </w:r>
      <w:r w:rsidR="00042B04">
        <w:t>Luftmenge</w:t>
      </w:r>
      <w:r>
        <w:t xml:space="preserve"> wenn Schnittstelle zu Regelung der Anlage möglich</w:t>
      </w:r>
    </w:p>
    <w:p w14:paraId="34E7F3D8" w14:textId="46A21A72" w:rsidR="00042B04" w:rsidRDefault="00042B04" w:rsidP="002E6D5A">
      <w:pPr>
        <w:keepLines/>
        <w:numPr>
          <w:ilvl w:val="0"/>
          <w:numId w:val="8"/>
        </w:numPr>
        <w:jc w:val="left"/>
      </w:pPr>
      <w:r>
        <w:t>Druckverlust: Zuluft, Abluft</w:t>
      </w:r>
      <w:r w:rsidR="0014229E">
        <w:t xml:space="preserve"> [Temporär über mind. 2 Wochen]</w:t>
      </w:r>
    </w:p>
    <w:p w14:paraId="418283BB" w14:textId="024505AD" w:rsidR="00042B04" w:rsidRDefault="00042B04" w:rsidP="002E6D5A">
      <w:pPr>
        <w:keepLines/>
        <w:numPr>
          <w:ilvl w:val="0"/>
          <w:numId w:val="8"/>
        </w:numPr>
        <w:jc w:val="left"/>
      </w:pPr>
      <w:r>
        <w:t>Temperatur: Zuluft, Abluft, Fortluft, Außenluft</w:t>
      </w:r>
      <w:r w:rsidR="0014229E">
        <w:t xml:space="preserve"> [Temporär über mind. 2 Wochen]</w:t>
      </w:r>
    </w:p>
    <w:p w14:paraId="470463BE" w14:textId="3D1AE543" w:rsidR="00042B04" w:rsidRDefault="00042B04" w:rsidP="002E6D5A">
      <w:pPr>
        <w:keepLines/>
        <w:numPr>
          <w:ilvl w:val="0"/>
          <w:numId w:val="8"/>
        </w:numPr>
        <w:jc w:val="left"/>
      </w:pPr>
      <w:r>
        <w:t>Rel. Feuchte: Zuluft, Abluft, Fortluft, Außenluft</w:t>
      </w:r>
      <w:r w:rsidR="0014229E">
        <w:t xml:space="preserve"> [Temporär über mind. 2 Wochen]</w:t>
      </w:r>
      <w:r w:rsidR="002E6D5A">
        <w:t xml:space="preserve"> (bei Rotationswärmetauscher dauerhaft, zur Auswertung Feuchterückgewinnung)</w:t>
      </w:r>
    </w:p>
    <w:p w14:paraId="0E733C74" w14:textId="77777777" w:rsidR="00042B04" w:rsidRDefault="00042B04" w:rsidP="002E6D5A">
      <w:pPr>
        <w:keepLines/>
        <w:numPr>
          <w:ilvl w:val="0"/>
          <w:numId w:val="8"/>
        </w:numPr>
        <w:jc w:val="left"/>
      </w:pPr>
      <w:r>
        <w:t>Wärmemenge Vor- und Nachheizregister</w:t>
      </w:r>
    </w:p>
    <w:p w14:paraId="75E2EC1A" w14:textId="77777777" w:rsidR="00042B04" w:rsidRDefault="00042B04" w:rsidP="002E6D5A">
      <w:pPr>
        <w:keepLines/>
        <w:numPr>
          <w:ilvl w:val="0"/>
          <w:numId w:val="8"/>
        </w:numPr>
        <w:jc w:val="left"/>
      </w:pPr>
      <w:r>
        <w:t>Wärmemenge Kälteregister</w:t>
      </w:r>
    </w:p>
    <w:p w14:paraId="164354B8" w14:textId="77777777" w:rsidR="00BB0A4D" w:rsidRDefault="00BB0A4D" w:rsidP="00042B04"/>
    <w:p w14:paraId="1D88A9F8" w14:textId="4D547837" w:rsidR="00042B04" w:rsidRPr="002E6D5A" w:rsidRDefault="00042B04" w:rsidP="00042B04">
      <w:pPr>
        <w:rPr>
          <w:b/>
        </w:rPr>
      </w:pPr>
      <w:r w:rsidRPr="002E6D5A">
        <w:rPr>
          <w:b/>
        </w:rPr>
        <w:lastRenderedPageBreak/>
        <w:t>Beispiel 2 Photovoltaik- Anlage</w:t>
      </w:r>
    </w:p>
    <w:p w14:paraId="1EED40C6" w14:textId="77777777" w:rsidR="00042B04" w:rsidRDefault="00042B04" w:rsidP="002E6D5A">
      <w:pPr>
        <w:keepLines/>
        <w:numPr>
          <w:ilvl w:val="0"/>
          <w:numId w:val="8"/>
        </w:numPr>
        <w:jc w:val="left"/>
      </w:pPr>
      <w:r>
        <w:t>Stromeinspeisung Gebäude</w:t>
      </w:r>
    </w:p>
    <w:p w14:paraId="0EDAAFD1" w14:textId="77777777" w:rsidR="00042B04" w:rsidRDefault="00042B04" w:rsidP="002E6D5A">
      <w:pPr>
        <w:keepLines/>
        <w:numPr>
          <w:ilvl w:val="0"/>
          <w:numId w:val="8"/>
        </w:numPr>
        <w:jc w:val="left"/>
      </w:pPr>
      <w:r>
        <w:t>Stromeinspeisung Netz</w:t>
      </w:r>
    </w:p>
    <w:p w14:paraId="7697AE21" w14:textId="3C94C28D" w:rsidR="00042B04" w:rsidRPr="002E6D5A" w:rsidRDefault="00042B04" w:rsidP="00042B04">
      <w:pPr>
        <w:rPr>
          <w:b/>
        </w:rPr>
      </w:pPr>
      <w:r w:rsidRPr="002E6D5A">
        <w:rPr>
          <w:b/>
        </w:rPr>
        <w:t>Beispiel 3 Solarthermische Anlage</w:t>
      </w:r>
    </w:p>
    <w:p w14:paraId="34001396" w14:textId="56DF921D" w:rsidR="00042B04" w:rsidRDefault="00042B04" w:rsidP="002E6D5A">
      <w:pPr>
        <w:keepLines/>
        <w:numPr>
          <w:ilvl w:val="0"/>
          <w:numId w:val="8"/>
        </w:numPr>
        <w:jc w:val="left"/>
      </w:pPr>
      <w:r>
        <w:t xml:space="preserve">Ertrag </w:t>
      </w:r>
      <w:r w:rsidR="005E27AB">
        <w:t xml:space="preserve">Wärmemenge </w:t>
      </w:r>
      <w:r>
        <w:t xml:space="preserve">(vor dem Speicher) </w:t>
      </w:r>
    </w:p>
    <w:p w14:paraId="01FC350B" w14:textId="77777777" w:rsidR="00042B04" w:rsidRDefault="00042B04" w:rsidP="002E6D5A">
      <w:pPr>
        <w:keepLines/>
        <w:numPr>
          <w:ilvl w:val="0"/>
          <w:numId w:val="8"/>
        </w:numPr>
        <w:jc w:val="left"/>
      </w:pPr>
      <w:r>
        <w:t>Optional: Hilfsenergie Pumpe</w:t>
      </w:r>
    </w:p>
    <w:p w14:paraId="4E7B4369" w14:textId="77777777" w:rsidR="00BB0A4D" w:rsidRDefault="00BB0A4D" w:rsidP="00042B04"/>
    <w:p w14:paraId="438B886A" w14:textId="272E2C30" w:rsidR="00042B04" w:rsidRPr="002E6D5A" w:rsidRDefault="00042B04" w:rsidP="00042B04">
      <w:pPr>
        <w:rPr>
          <w:b/>
        </w:rPr>
      </w:pPr>
      <w:r w:rsidRPr="002E6D5A">
        <w:rPr>
          <w:b/>
        </w:rPr>
        <w:t>Beispiel 4 Luft-/Wasser- Wärmepumpe</w:t>
      </w:r>
    </w:p>
    <w:p w14:paraId="5AFD24CC" w14:textId="77777777" w:rsidR="00042B04" w:rsidRDefault="00F82698" w:rsidP="002E6D5A">
      <w:pPr>
        <w:keepLines/>
        <w:numPr>
          <w:ilvl w:val="0"/>
          <w:numId w:val="8"/>
        </w:numPr>
        <w:jc w:val="left"/>
      </w:pPr>
      <w:r>
        <w:t>Stromaufnahme Wärmepumpe</w:t>
      </w:r>
    </w:p>
    <w:p w14:paraId="3C79923B" w14:textId="77777777" w:rsidR="00F82698" w:rsidRDefault="00F82698" w:rsidP="002E6D5A">
      <w:pPr>
        <w:keepLines/>
        <w:numPr>
          <w:ilvl w:val="0"/>
          <w:numId w:val="8"/>
        </w:numPr>
        <w:jc w:val="left"/>
      </w:pPr>
      <w:r>
        <w:t>Wärmemenge Kondensatorseite</w:t>
      </w:r>
    </w:p>
    <w:p w14:paraId="1EEBBF65" w14:textId="77777777" w:rsidR="00F82698" w:rsidRDefault="00F82698" w:rsidP="002E6D5A">
      <w:pPr>
        <w:keepLines/>
        <w:numPr>
          <w:ilvl w:val="0"/>
          <w:numId w:val="8"/>
        </w:numPr>
        <w:jc w:val="left"/>
      </w:pPr>
      <w:r>
        <w:t>Umgebungstemperatur (</w:t>
      </w:r>
      <w:proofErr w:type="spellStart"/>
      <w:r>
        <w:t>Verdampferseite</w:t>
      </w:r>
      <w:proofErr w:type="spellEnd"/>
      <w:r>
        <w:t>)</w:t>
      </w:r>
    </w:p>
    <w:p w14:paraId="7FE74B60" w14:textId="77777777" w:rsidR="00B76074" w:rsidRDefault="00B76074" w:rsidP="00B76074"/>
    <w:p w14:paraId="00245D6C" w14:textId="588C2325" w:rsidR="005E27AB" w:rsidRPr="005067B8" w:rsidRDefault="005E27AB" w:rsidP="005E27AB">
      <w:pPr>
        <w:rPr>
          <w:b/>
        </w:rPr>
      </w:pPr>
      <w:r w:rsidRPr="005067B8">
        <w:rPr>
          <w:b/>
        </w:rPr>
        <w:t>Beispiel </w:t>
      </w:r>
      <w:r>
        <w:rPr>
          <w:b/>
        </w:rPr>
        <w:t>5</w:t>
      </w:r>
      <w:r w:rsidRPr="005067B8">
        <w:rPr>
          <w:b/>
        </w:rPr>
        <w:t xml:space="preserve"> </w:t>
      </w:r>
      <w:r>
        <w:rPr>
          <w:b/>
        </w:rPr>
        <w:t>Wasser</w:t>
      </w:r>
      <w:r w:rsidRPr="005067B8">
        <w:rPr>
          <w:b/>
        </w:rPr>
        <w:t>/Wasser- Wärmepumpe</w:t>
      </w:r>
    </w:p>
    <w:p w14:paraId="0E20A08D" w14:textId="77777777" w:rsidR="005E27AB" w:rsidRDefault="005E27AB" w:rsidP="002E6D5A">
      <w:pPr>
        <w:keepLines/>
        <w:numPr>
          <w:ilvl w:val="0"/>
          <w:numId w:val="8"/>
        </w:numPr>
        <w:jc w:val="left"/>
      </w:pPr>
      <w:r>
        <w:t>Stromaufnahme Wärmepumpe</w:t>
      </w:r>
    </w:p>
    <w:p w14:paraId="25CC9D84" w14:textId="35C71AE3" w:rsidR="005E27AB" w:rsidRDefault="005E27AB" w:rsidP="002E6D5A">
      <w:pPr>
        <w:keepLines/>
        <w:numPr>
          <w:ilvl w:val="0"/>
          <w:numId w:val="8"/>
        </w:numPr>
        <w:jc w:val="left"/>
      </w:pPr>
      <w:r>
        <w:t>Stromaufnahme Grundwasserpumpe</w:t>
      </w:r>
    </w:p>
    <w:p w14:paraId="14BBEA10" w14:textId="77777777" w:rsidR="005E27AB" w:rsidRDefault="005E27AB" w:rsidP="002E6D5A">
      <w:pPr>
        <w:keepLines/>
        <w:numPr>
          <w:ilvl w:val="0"/>
          <w:numId w:val="8"/>
        </w:numPr>
        <w:jc w:val="left"/>
      </w:pPr>
      <w:r>
        <w:t>Wärmemenge Kondensatorseite</w:t>
      </w:r>
    </w:p>
    <w:p w14:paraId="080F296F" w14:textId="4541ACDE" w:rsidR="005E27AB" w:rsidRDefault="005E27AB" w:rsidP="002E6D5A">
      <w:pPr>
        <w:keepLines/>
        <w:numPr>
          <w:ilvl w:val="0"/>
          <w:numId w:val="8"/>
        </w:numPr>
        <w:jc w:val="left"/>
      </w:pPr>
      <w:r>
        <w:t>Wassertemperatur Entnahmestelle (</w:t>
      </w:r>
      <w:proofErr w:type="spellStart"/>
      <w:r>
        <w:t>Verdampferseite</w:t>
      </w:r>
      <w:proofErr w:type="spellEnd"/>
      <w:r>
        <w:t>)</w:t>
      </w:r>
    </w:p>
    <w:p w14:paraId="5F810006" w14:textId="77777777" w:rsidR="005E27AB" w:rsidRDefault="005E27AB" w:rsidP="00B76074"/>
    <w:p w14:paraId="3F26B4BE" w14:textId="171A5359" w:rsidR="00B76074" w:rsidRDefault="00B76074" w:rsidP="00B76074">
      <w:r w:rsidRPr="00AE1367">
        <w:rPr>
          <w:b/>
        </w:rPr>
        <w:t>Komfortparameter</w:t>
      </w:r>
      <w:r>
        <w:t xml:space="preserve"> </w:t>
      </w:r>
      <w:r w:rsidR="00A025CB">
        <w:t xml:space="preserve">(Temperatur, Luftfeuchte, CO2) </w:t>
      </w:r>
      <w:r>
        <w:t>sind für eine repräsentative Auswahl von Referenzräumen für jede Nutzungskategorie zu erfassen.</w:t>
      </w:r>
      <w:r w:rsidR="00E061B9">
        <w:t xml:space="preserve"> Die Auswahl hat unter Berücksichtigung relevanter Einflussparameter (Belegungsdichte, Orientierung) zu erfolgen.</w:t>
      </w:r>
      <w:r w:rsidR="005E27AB">
        <w:t xml:space="preserve"> </w:t>
      </w:r>
    </w:p>
    <w:p w14:paraId="551A56FD" w14:textId="77777777" w:rsidR="00406AB0" w:rsidRDefault="00FC121D" w:rsidP="00A06A15">
      <w:pPr>
        <w:pStyle w:val="berschrift1"/>
        <w:pBdr>
          <w:bottom w:val="none" w:sz="0" w:space="0" w:color="auto"/>
        </w:pBdr>
      </w:pPr>
      <w:bookmarkStart w:id="9" w:name="_Toc430627271"/>
      <w:proofErr w:type="spellStart"/>
      <w:r>
        <w:t>Kostenmonitoring</w:t>
      </w:r>
      <w:bookmarkEnd w:id="9"/>
      <w:proofErr w:type="spellEnd"/>
    </w:p>
    <w:p w14:paraId="6E8804D2" w14:textId="4ED7EDA2" w:rsidR="00716072" w:rsidRDefault="002777CC" w:rsidP="00583063">
      <w:r>
        <w:t xml:space="preserve">Das </w:t>
      </w:r>
      <w:proofErr w:type="spellStart"/>
      <w:r>
        <w:t>Kostenmonitoring</w:t>
      </w:r>
      <w:proofErr w:type="spellEnd"/>
      <w:r>
        <w:t xml:space="preserve"> umfasst sowohl die Darstellung der Investitionskosten </w:t>
      </w:r>
      <w:r w:rsidR="00DA5D21">
        <w:t>(gesamt sowie gegliedert nach den innovativen Elementen</w:t>
      </w:r>
      <w:r w:rsidR="00147D86">
        <w:t>,</w:t>
      </w:r>
      <w:r w:rsidR="00DA5D21">
        <w:t xml:space="preserve"> die der Förderung zugrunde</w:t>
      </w:r>
      <w:r w:rsidR="004E608D">
        <w:t xml:space="preserve"> </w:t>
      </w:r>
      <w:r w:rsidR="00DA5D21">
        <w:t xml:space="preserve">liegen) </w:t>
      </w:r>
      <w:r>
        <w:t xml:space="preserve">als auch der relevanten laufenden Kosten für das </w:t>
      </w:r>
      <w:r w:rsidR="002756B2">
        <w:t>Demonstrationsgebäude</w:t>
      </w:r>
      <w:r>
        <w:t>.</w:t>
      </w:r>
    </w:p>
    <w:p w14:paraId="59519649" w14:textId="77777777" w:rsidR="00B75580" w:rsidRDefault="00071624" w:rsidP="00B75580">
      <w:r>
        <w:t xml:space="preserve">Das </w:t>
      </w:r>
      <w:proofErr w:type="spellStart"/>
      <w:r w:rsidR="00406AB0" w:rsidRPr="00C67669">
        <w:t>Kostenmonitoring</w:t>
      </w:r>
      <w:proofErr w:type="spellEnd"/>
      <w:r w:rsidR="00406AB0" w:rsidRPr="00C67669">
        <w:t xml:space="preserve"> </w:t>
      </w:r>
      <w:r>
        <w:t xml:space="preserve">ist zusammen </w:t>
      </w:r>
      <w:r w:rsidR="00B75580">
        <w:t xml:space="preserve">mit dem Energieverbrauchs- und </w:t>
      </w:r>
      <w:proofErr w:type="spellStart"/>
      <w:r w:rsidR="00B75580">
        <w:t>Komfortmonitoring</w:t>
      </w:r>
      <w:proofErr w:type="spellEnd"/>
      <w:r w:rsidR="00B75580">
        <w:t xml:space="preserve"> </w:t>
      </w:r>
      <w:r>
        <w:t xml:space="preserve">im Rahmen des Monitoring-Endberichts </w:t>
      </w:r>
      <w:r w:rsidR="00406AB0" w:rsidRPr="00C67669">
        <w:t xml:space="preserve">in Form einer einheitlichen Datenstruktur </w:t>
      </w:r>
      <w:r w:rsidR="00B75580">
        <w:t xml:space="preserve">zu dokumentieren. </w:t>
      </w:r>
    </w:p>
    <w:p w14:paraId="29FF4D75" w14:textId="424B3A4D" w:rsidR="00B75580" w:rsidRDefault="00B75580" w:rsidP="00B75580">
      <w:r>
        <w:lastRenderedPageBreak/>
        <w:t xml:space="preserve">Grundsätzlich sind neben den </w:t>
      </w:r>
      <w:r w:rsidR="00071624">
        <w:t xml:space="preserve">Investitionskosten </w:t>
      </w:r>
      <w:r>
        <w:t xml:space="preserve">auch die </w:t>
      </w:r>
      <w:r w:rsidR="00071624">
        <w:t xml:space="preserve">laufenden Kosten im Betrieb </w:t>
      </w:r>
      <w:r>
        <w:t xml:space="preserve">zu erfassen. Dabei ist eine Gliederung gemäß </w:t>
      </w:r>
      <w:r w:rsidR="002777CC">
        <w:t>ÖNORM B1801</w:t>
      </w:r>
      <w:r w:rsidR="00071624">
        <w:t xml:space="preserve"> </w:t>
      </w:r>
      <w:r>
        <w:t>anzuwenden. Separat zu erfassen sind jedenfalls folgende Kategorien bzw. Kenngrößen:</w:t>
      </w:r>
      <w:r w:rsidRPr="00B75580">
        <w:t xml:space="preserve"> </w:t>
      </w:r>
    </w:p>
    <w:p w14:paraId="13EEE4FE" w14:textId="77777777" w:rsidR="00B75580" w:rsidRDefault="009734FC" w:rsidP="00B75580">
      <w:pPr>
        <w:keepLines/>
        <w:numPr>
          <w:ilvl w:val="0"/>
          <w:numId w:val="8"/>
        </w:numPr>
        <w:jc w:val="left"/>
      </w:pPr>
      <w:r>
        <w:t>Baukosten</w:t>
      </w:r>
    </w:p>
    <w:p w14:paraId="4ED3919B" w14:textId="77777777" w:rsidR="00B75580" w:rsidRDefault="009734FC" w:rsidP="00B75580">
      <w:pPr>
        <w:keepLines/>
        <w:numPr>
          <w:ilvl w:val="0"/>
          <w:numId w:val="8"/>
        </w:numPr>
        <w:jc w:val="left"/>
      </w:pPr>
      <w:r>
        <w:t>Errichtungskosten</w:t>
      </w:r>
    </w:p>
    <w:p w14:paraId="2585BD07" w14:textId="77777777" w:rsidR="00B75580" w:rsidRDefault="009734FC" w:rsidP="00B75580">
      <w:pPr>
        <w:keepLines/>
        <w:numPr>
          <w:ilvl w:val="0"/>
          <w:numId w:val="8"/>
        </w:numPr>
        <w:jc w:val="left"/>
      </w:pPr>
      <w:r>
        <w:t>Kosten innovativer Elemente mit Angabe Bezugsgröße</w:t>
      </w:r>
    </w:p>
    <w:p w14:paraId="16B18798" w14:textId="77777777" w:rsidR="00B75580" w:rsidRDefault="009734FC" w:rsidP="00B75580">
      <w:pPr>
        <w:keepLines/>
        <w:numPr>
          <w:ilvl w:val="0"/>
          <w:numId w:val="8"/>
        </w:numPr>
        <w:jc w:val="left"/>
      </w:pPr>
      <w:r>
        <w:t>Betriebskosten</w:t>
      </w:r>
    </w:p>
    <w:p w14:paraId="33AB81B9" w14:textId="77777777" w:rsidR="00B75580" w:rsidRDefault="009734FC" w:rsidP="00B75580">
      <w:pPr>
        <w:keepLines/>
        <w:numPr>
          <w:ilvl w:val="0"/>
          <w:numId w:val="8"/>
        </w:numPr>
        <w:jc w:val="left"/>
      </w:pPr>
      <w:r>
        <w:t>Erhaltungskosten</w:t>
      </w:r>
    </w:p>
    <w:p w14:paraId="049A40BE" w14:textId="5953FCCC" w:rsidR="00147D86" w:rsidRDefault="00147D86" w:rsidP="00147D86">
      <w:pPr>
        <w:keepLines/>
        <w:jc w:val="left"/>
      </w:pPr>
      <w:r>
        <w:t>Die folgenden Tabellen geben ein Beispiel für die Dokumentation der Investitionskosten sowie der Nutzungskosten unter Berücksichtigung gemäß ÖNORM B 1801.</w:t>
      </w:r>
    </w:p>
    <w:p w14:paraId="198E1995" w14:textId="3D89ADBE" w:rsidR="004E608D" w:rsidRDefault="008E08B2" w:rsidP="004E608D">
      <w:r w:rsidRPr="008E08B2">
        <w:rPr>
          <w:noProof/>
          <w:lang w:eastAsia="zh-CN"/>
        </w:rPr>
        <w:lastRenderedPageBreak/>
        <w:drawing>
          <wp:inline distT="0" distB="0" distL="0" distR="0" wp14:anchorId="28F216C4" wp14:editId="3BBE00A7">
            <wp:extent cx="5527343" cy="6361071"/>
            <wp:effectExtent l="0" t="0" r="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7343" cy="6361071"/>
                    </a:xfrm>
                    <a:prstGeom prst="rect">
                      <a:avLst/>
                    </a:prstGeom>
                    <a:noFill/>
                    <a:ln>
                      <a:noFill/>
                    </a:ln>
                  </pic:spPr>
                </pic:pic>
              </a:graphicData>
            </a:graphic>
          </wp:inline>
        </w:drawing>
      </w:r>
    </w:p>
    <w:p w14:paraId="4BBD73B1" w14:textId="2FC30A54" w:rsidR="00010A84" w:rsidRDefault="00010A84" w:rsidP="00010A84">
      <w:pPr>
        <w:pStyle w:val="Beschriftung"/>
      </w:pPr>
      <w:r>
        <w:t xml:space="preserve">Abbildung </w:t>
      </w:r>
      <w:r w:rsidR="00E716AD">
        <w:fldChar w:fldCharType="begin"/>
      </w:r>
      <w:r w:rsidR="00E716AD">
        <w:instrText xml:space="preserve"> SEQ Abbildung \* ARABIC </w:instrText>
      </w:r>
      <w:r w:rsidR="00E716AD">
        <w:fldChar w:fldCharType="separate"/>
      </w:r>
      <w:r w:rsidR="00990BB2">
        <w:rPr>
          <w:noProof/>
        </w:rPr>
        <w:t>2</w:t>
      </w:r>
      <w:r w:rsidR="00E716AD">
        <w:rPr>
          <w:noProof/>
        </w:rPr>
        <w:fldChar w:fldCharType="end"/>
      </w:r>
      <w:r>
        <w:t>: Kostenraster Investitionskosten</w:t>
      </w:r>
    </w:p>
    <w:p w14:paraId="7B78316E" w14:textId="25FB59DA" w:rsidR="004E608D" w:rsidRDefault="004E608D" w:rsidP="004E608D"/>
    <w:p w14:paraId="650B93CA" w14:textId="19DD86E9" w:rsidR="00B42964" w:rsidRDefault="008E08B2" w:rsidP="004E608D">
      <w:r w:rsidRPr="008E08B2">
        <w:rPr>
          <w:noProof/>
          <w:lang w:eastAsia="zh-CN"/>
        </w:rPr>
        <w:lastRenderedPageBreak/>
        <w:drawing>
          <wp:inline distT="0" distB="0" distL="0" distR="0" wp14:anchorId="610AB834" wp14:editId="79AFBAD5">
            <wp:extent cx="5321709" cy="6970085"/>
            <wp:effectExtent l="0" t="0" r="0"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2969" cy="6971736"/>
                    </a:xfrm>
                    <a:prstGeom prst="rect">
                      <a:avLst/>
                    </a:prstGeom>
                    <a:noFill/>
                    <a:ln>
                      <a:noFill/>
                    </a:ln>
                  </pic:spPr>
                </pic:pic>
              </a:graphicData>
            </a:graphic>
          </wp:inline>
        </w:drawing>
      </w:r>
    </w:p>
    <w:p w14:paraId="2DAB282C" w14:textId="1D640B65" w:rsidR="00010A84" w:rsidRDefault="00010A84" w:rsidP="00010A84">
      <w:pPr>
        <w:pStyle w:val="Beschriftung"/>
      </w:pPr>
      <w:r>
        <w:t xml:space="preserve">Abbildung </w:t>
      </w:r>
      <w:r w:rsidR="00E716AD">
        <w:fldChar w:fldCharType="begin"/>
      </w:r>
      <w:r w:rsidR="00E716AD">
        <w:instrText xml:space="preserve"> SEQ Abbildung \* ARABIC </w:instrText>
      </w:r>
      <w:r w:rsidR="00E716AD">
        <w:fldChar w:fldCharType="separate"/>
      </w:r>
      <w:r w:rsidR="00990BB2">
        <w:rPr>
          <w:noProof/>
        </w:rPr>
        <w:t>3</w:t>
      </w:r>
      <w:r w:rsidR="00E716AD">
        <w:rPr>
          <w:noProof/>
        </w:rPr>
        <w:fldChar w:fldCharType="end"/>
      </w:r>
      <w:r>
        <w:t>: Kostenraster Nutzungskosten</w:t>
      </w:r>
    </w:p>
    <w:p w14:paraId="44E52A07" w14:textId="77777777" w:rsidR="00B42964" w:rsidRDefault="00B42964" w:rsidP="004E608D"/>
    <w:p w14:paraId="2C1DC457" w14:textId="77777777" w:rsidR="00406AB0" w:rsidRDefault="009D24E2" w:rsidP="00A06A15">
      <w:pPr>
        <w:pStyle w:val="berschrift1"/>
        <w:pBdr>
          <w:bottom w:val="none" w:sz="0" w:space="0" w:color="auto"/>
        </w:pBdr>
      </w:pPr>
      <w:bookmarkStart w:id="10" w:name="_Toc430627272"/>
      <w:r>
        <w:lastRenderedPageBreak/>
        <w:t>Sozialwissenschaftliches Monitoring</w:t>
      </w:r>
      <w:bookmarkEnd w:id="10"/>
    </w:p>
    <w:p w14:paraId="0D020504" w14:textId="1E9E3035" w:rsidR="00583063" w:rsidRDefault="002777CC" w:rsidP="00583063">
      <w:r>
        <w:t xml:space="preserve">Im Rahmen </w:t>
      </w:r>
      <w:r w:rsidR="009C7FDF">
        <w:t xml:space="preserve">eines </w:t>
      </w:r>
      <w:r w:rsidR="002756B2">
        <w:t>Demonstrationsgebäude</w:t>
      </w:r>
      <w:r>
        <w:t>s sowie des begleitenden Monitorings besteht</w:t>
      </w:r>
      <w:r w:rsidR="009C7FDF">
        <w:t xml:space="preserve"> grundsätzlich</w:t>
      </w:r>
      <w:r>
        <w:t xml:space="preserve"> keine Verpflichtung für d</w:t>
      </w:r>
      <w:r w:rsidR="009C7FDF">
        <w:t>i</w:t>
      </w:r>
      <w:r>
        <w:t>e Fördernehmer f</w:t>
      </w:r>
      <w:r w:rsidR="009C7FDF">
        <w:t>ür eine sozialwissenschaftliche</w:t>
      </w:r>
      <w:r>
        <w:t xml:space="preserve"> Evaluierung des Projekts, beispielsweise eine Erhebung zur </w:t>
      </w:r>
      <w:proofErr w:type="spellStart"/>
      <w:r>
        <w:t>NutzerInnenzufriedenheit</w:t>
      </w:r>
      <w:proofErr w:type="spellEnd"/>
      <w:r>
        <w:t xml:space="preserve">. </w:t>
      </w:r>
    </w:p>
    <w:p w14:paraId="218721E7" w14:textId="5111ADBC" w:rsidR="002777CC" w:rsidRDefault="002777CC" w:rsidP="000C59AC">
      <w:r>
        <w:t>Der</w:t>
      </w:r>
      <w:r w:rsidR="009C7FDF">
        <w:t>/die</w:t>
      </w:r>
      <w:r>
        <w:t xml:space="preserve"> </w:t>
      </w:r>
      <w:proofErr w:type="spellStart"/>
      <w:r>
        <w:t>Fördernehmer</w:t>
      </w:r>
      <w:r w:rsidR="009C7FDF">
        <w:t>In</w:t>
      </w:r>
      <w:proofErr w:type="spellEnd"/>
      <w:r>
        <w:t xml:space="preserve"> erteilt aber seine</w:t>
      </w:r>
      <w:r w:rsidR="009C7FDF">
        <w:t>/ihre</w:t>
      </w:r>
      <w:r>
        <w:t xml:space="preserve"> unwiderrufliche Zustimmung zur Durchführung von </w:t>
      </w:r>
      <w:r w:rsidR="000C59AC">
        <w:t xml:space="preserve">Erhebungen </w:t>
      </w:r>
      <w:r>
        <w:t>durch extern beauftragte Dritte</w:t>
      </w:r>
      <w:r w:rsidR="000C59AC">
        <w:t>. Diese Erhebungen können in Form von Befragungen oder Interviews vor Ort, Telefoninterviews oder Erhebungen mittels Fragebogen, Internet oder anderer Medien erfolgen.</w:t>
      </w:r>
    </w:p>
    <w:p w14:paraId="582C5E47" w14:textId="54ED537D" w:rsidR="000C59AC" w:rsidRDefault="000C59AC" w:rsidP="000C59AC">
      <w:r>
        <w:t>Insbesondere erklärt sich der</w:t>
      </w:r>
      <w:r w:rsidR="009C7FDF">
        <w:t>/die</w:t>
      </w:r>
      <w:r>
        <w:t xml:space="preserve"> </w:t>
      </w:r>
      <w:proofErr w:type="spellStart"/>
      <w:r>
        <w:t>Fördernehmer</w:t>
      </w:r>
      <w:r w:rsidR="009C7FDF">
        <w:t>In</w:t>
      </w:r>
      <w:proofErr w:type="spellEnd"/>
      <w:r>
        <w:t xml:space="preserve"> auch bereit, Kontakte zu den </w:t>
      </w:r>
      <w:proofErr w:type="spellStart"/>
      <w:r>
        <w:t>NutzerInnen</w:t>
      </w:r>
      <w:proofErr w:type="spellEnd"/>
      <w:r>
        <w:t xml:space="preserve"> herzustellen und mit den für die sozialwissenschaftliche Evaluierung beauftragten Organisationen und Personen zu kooperieren.</w:t>
      </w:r>
    </w:p>
    <w:p w14:paraId="3F67D1F9" w14:textId="77777777" w:rsidR="005E27AB" w:rsidRDefault="005E27AB" w:rsidP="000C59AC"/>
    <w:p w14:paraId="6D32FA27" w14:textId="2983CEFD" w:rsidR="005E27AB" w:rsidRPr="00636CFE" w:rsidRDefault="005E27AB" w:rsidP="005E27AB">
      <w:pPr>
        <w:rPr>
          <w:rFonts w:cs="Arial"/>
        </w:rPr>
      </w:pPr>
      <w:r w:rsidRPr="00636CFE">
        <w:rPr>
          <w:rFonts w:cs="Arial"/>
        </w:rPr>
        <w:t xml:space="preserve">Die </w:t>
      </w:r>
      <w:proofErr w:type="spellStart"/>
      <w:r w:rsidR="00636CFE" w:rsidRPr="00636CFE">
        <w:rPr>
          <w:rFonts w:cs="Arial"/>
        </w:rPr>
        <w:t>FördernehmerInnen</w:t>
      </w:r>
      <w:proofErr w:type="spellEnd"/>
      <w:r w:rsidR="00636CFE" w:rsidRPr="00636CFE">
        <w:rPr>
          <w:rFonts w:cs="Arial"/>
        </w:rPr>
        <w:t xml:space="preserve"> </w:t>
      </w:r>
      <w:r w:rsidRPr="00636CFE">
        <w:rPr>
          <w:rFonts w:cs="Arial"/>
        </w:rPr>
        <w:t xml:space="preserve">der </w:t>
      </w:r>
      <w:proofErr w:type="spellStart"/>
      <w:r w:rsidR="002756B2">
        <w:rPr>
          <w:rFonts w:cs="Arial"/>
        </w:rPr>
        <w:t>Demonstrationsgebäude</w:t>
      </w:r>
      <w:r w:rsidRPr="00636CFE">
        <w:rPr>
          <w:rFonts w:cs="Arial"/>
        </w:rPr>
        <w:t>e</w:t>
      </w:r>
      <w:proofErr w:type="spellEnd"/>
      <w:r w:rsidRPr="00636CFE">
        <w:rPr>
          <w:rFonts w:cs="Arial"/>
        </w:rPr>
        <w:t xml:space="preserve"> zeigen ihre Kooperationsbereitschaft </w:t>
      </w:r>
      <w:r w:rsidR="00636CFE" w:rsidRPr="00636CFE">
        <w:rPr>
          <w:rFonts w:cs="Arial"/>
        </w:rPr>
        <w:t xml:space="preserve">beispielsweise </w:t>
      </w:r>
      <w:r w:rsidRPr="00636CFE">
        <w:rPr>
          <w:rFonts w:cs="Arial"/>
        </w:rPr>
        <w:t>durch:</w:t>
      </w:r>
    </w:p>
    <w:p w14:paraId="57B3AA98" w14:textId="3B7D231C" w:rsidR="005E27AB" w:rsidRPr="00636CFE" w:rsidRDefault="005E27AB" w:rsidP="005E27AB">
      <w:pPr>
        <w:pStyle w:val="AufzhlungListe"/>
        <w:numPr>
          <w:ilvl w:val="0"/>
          <w:numId w:val="4"/>
        </w:numPr>
      </w:pPr>
      <w:r w:rsidRPr="00636CFE">
        <w:t>Bereitstellen des anonymisierten Datenmaterials zur Analyse der Bewohnerstruktur nach Haushaltsgröße, Alter, Geschlecht, Staatsbürgerschaft, Muttersprache, sozialer Status</w:t>
      </w:r>
      <w:r w:rsidR="00F20B1B">
        <w:t>,</w:t>
      </w:r>
      <w:r w:rsidRPr="00636CFE">
        <w:t xml:space="preserve"> etc. vor der Sanierung und nach der Sanierung;</w:t>
      </w:r>
    </w:p>
    <w:p w14:paraId="22A46FCC" w14:textId="77777777" w:rsidR="005E27AB" w:rsidRPr="00636CFE" w:rsidRDefault="005E27AB" w:rsidP="005E27AB">
      <w:pPr>
        <w:pStyle w:val="AufzhlungListe"/>
        <w:numPr>
          <w:ilvl w:val="0"/>
          <w:numId w:val="4"/>
        </w:numPr>
      </w:pPr>
      <w:r w:rsidRPr="00636CFE">
        <w:t>Sicherstellen des Zugangs zur Bewohnerschaft, z.B. durch Verteilung von Informationsschreiben an BewohnerInnen über geplante Befragungen;</w:t>
      </w:r>
    </w:p>
    <w:p w14:paraId="1961B223" w14:textId="77777777" w:rsidR="005E27AB" w:rsidRPr="00636CFE" w:rsidRDefault="005E27AB" w:rsidP="005E27AB">
      <w:pPr>
        <w:pStyle w:val="AufzhlungListe"/>
        <w:numPr>
          <w:ilvl w:val="0"/>
          <w:numId w:val="4"/>
        </w:numPr>
      </w:pPr>
      <w:r w:rsidRPr="00636CFE">
        <w:t>Unterstützung der Erhebung durch Verteilung der Fragebögen und Sammlung des Rücklaufs;</w:t>
      </w:r>
    </w:p>
    <w:p w14:paraId="53FBB810" w14:textId="77777777" w:rsidR="005E27AB" w:rsidRPr="00636CFE" w:rsidRDefault="005E27AB" w:rsidP="005E27AB">
      <w:pPr>
        <w:pStyle w:val="AufzhlungListe"/>
        <w:numPr>
          <w:ilvl w:val="0"/>
          <w:numId w:val="4"/>
        </w:numPr>
      </w:pPr>
      <w:r w:rsidRPr="00636CFE">
        <w:t>Möglichkeit der Teilnahme des Erhebungsteams an Hausversammlungen zur Information der Bewohnerschaft;</w:t>
      </w:r>
    </w:p>
    <w:p w14:paraId="7AD1255C" w14:textId="18EE6FDE" w:rsidR="005E27AB" w:rsidRPr="00636CFE" w:rsidRDefault="005E27AB" w:rsidP="005E27AB">
      <w:pPr>
        <w:pStyle w:val="AufzhlungListe"/>
        <w:numPr>
          <w:ilvl w:val="0"/>
          <w:numId w:val="4"/>
        </w:numPr>
      </w:pPr>
      <w:r w:rsidRPr="00636CFE">
        <w:t xml:space="preserve">Bereitschaft der </w:t>
      </w:r>
      <w:proofErr w:type="spellStart"/>
      <w:r w:rsidR="00636CFE" w:rsidRPr="00636CFE">
        <w:t>FördernehmerInnen</w:t>
      </w:r>
      <w:proofErr w:type="spellEnd"/>
      <w:r w:rsidR="00636CFE" w:rsidRPr="00636CFE">
        <w:t xml:space="preserve"> sowie der zuständigen Hausverwaltung </w:t>
      </w:r>
      <w:r w:rsidRPr="00636CFE">
        <w:t>zu persönlichen Interviews;</w:t>
      </w:r>
    </w:p>
    <w:p w14:paraId="44933BAC" w14:textId="77777777" w:rsidR="005E27AB" w:rsidRPr="00636CFE" w:rsidRDefault="005E27AB" w:rsidP="005E27AB">
      <w:pPr>
        <w:pStyle w:val="AufzhlungListe"/>
        <w:numPr>
          <w:ilvl w:val="0"/>
          <w:numId w:val="4"/>
        </w:numPr>
      </w:pPr>
      <w:r w:rsidRPr="00636CFE">
        <w:t>Sicherstellen des Informationsflusses zwischen Hausverwaltung, Generalunternehmung und Erhebungsteam während des Sanierungsprozesses;</w:t>
      </w:r>
    </w:p>
    <w:p w14:paraId="5F651C0F" w14:textId="27A8FC94" w:rsidR="005E27AB" w:rsidRPr="00636CFE" w:rsidRDefault="005E27AB" w:rsidP="005E27AB">
      <w:pPr>
        <w:pStyle w:val="AufzhlungListe"/>
        <w:numPr>
          <w:ilvl w:val="0"/>
          <w:numId w:val="4"/>
        </w:numPr>
      </w:pPr>
      <w:r w:rsidRPr="00636CFE">
        <w:t xml:space="preserve">Teilnahme der </w:t>
      </w:r>
      <w:proofErr w:type="spellStart"/>
      <w:r w:rsidR="00636CFE" w:rsidRPr="00636CFE">
        <w:t>FördernehmerInnen</w:t>
      </w:r>
      <w:proofErr w:type="spellEnd"/>
      <w:r w:rsidR="00636CFE" w:rsidRPr="00636CFE">
        <w:t xml:space="preserve">, </w:t>
      </w:r>
      <w:r w:rsidRPr="00636CFE">
        <w:t>Hausverwaltung an Besprechungen, Workshops vor, während und nach der Sanierung.</w:t>
      </w:r>
    </w:p>
    <w:p w14:paraId="5029C95B" w14:textId="77777777" w:rsidR="005E27AB" w:rsidRDefault="005E27AB" w:rsidP="000C59AC"/>
    <w:p w14:paraId="3929AEF2" w14:textId="77777777" w:rsidR="009D24E2" w:rsidRPr="00421F71" w:rsidRDefault="00305A6B" w:rsidP="00A06A15">
      <w:pPr>
        <w:pStyle w:val="berschrift1"/>
        <w:pBdr>
          <w:bottom w:val="none" w:sz="0" w:space="0" w:color="auto"/>
        </w:pBdr>
      </w:pPr>
      <w:bookmarkStart w:id="11" w:name="_Toc430627273"/>
      <w:r>
        <w:lastRenderedPageBreak/>
        <w:t xml:space="preserve">Berichte, </w:t>
      </w:r>
      <w:r w:rsidR="009D24E2">
        <w:t>D</w:t>
      </w:r>
      <w:r w:rsidR="00D76C4F">
        <w:t xml:space="preserve">atenübergabe und </w:t>
      </w:r>
      <w:r w:rsidR="009D24E2">
        <w:t>Datenschutz</w:t>
      </w:r>
      <w:bookmarkEnd w:id="11"/>
    </w:p>
    <w:p w14:paraId="6935E325" w14:textId="157579B3" w:rsidR="00BB0A4D" w:rsidRDefault="00CF4095" w:rsidP="00BB0A4D">
      <w:r>
        <w:t xml:space="preserve">Zusätzlich zu den vertraglich geregelten Berichtsterminen verpflichtet sich der/die </w:t>
      </w:r>
      <w:proofErr w:type="spellStart"/>
      <w:r>
        <w:t>FördernehmerIn</w:t>
      </w:r>
      <w:proofErr w:type="spellEnd"/>
      <w:r w:rsidR="006C36D4">
        <w:t xml:space="preserve">, </w:t>
      </w:r>
      <w:r w:rsidR="006C36D4" w:rsidRPr="00023CCD">
        <w:rPr>
          <w:b/>
        </w:rPr>
        <w:t>zwei Jahre nach Inbetriebnahme</w:t>
      </w:r>
      <w:r w:rsidR="00E215A4" w:rsidRPr="00023CCD">
        <w:rPr>
          <w:b/>
        </w:rPr>
        <w:t xml:space="preserve"> eine vollständige Auswertung der </w:t>
      </w:r>
      <w:r w:rsidRPr="00023CCD">
        <w:rPr>
          <w:b/>
        </w:rPr>
        <w:t xml:space="preserve">gemäß Punkt 2 bis 4 </w:t>
      </w:r>
      <w:r w:rsidR="00E215A4" w:rsidRPr="00023CCD">
        <w:rPr>
          <w:b/>
        </w:rPr>
        <w:t xml:space="preserve">erhobenen </w:t>
      </w:r>
      <w:proofErr w:type="spellStart"/>
      <w:r w:rsidR="00E215A4" w:rsidRPr="00023CCD">
        <w:rPr>
          <w:b/>
        </w:rPr>
        <w:t>Monitoringd</w:t>
      </w:r>
      <w:r w:rsidR="00305A6B" w:rsidRPr="00023CCD">
        <w:rPr>
          <w:b/>
        </w:rPr>
        <w:t>aten</w:t>
      </w:r>
      <w:proofErr w:type="spellEnd"/>
      <w:r w:rsidR="00305A6B" w:rsidRPr="00023CCD">
        <w:rPr>
          <w:b/>
        </w:rPr>
        <w:t xml:space="preserve"> an die FFG zu übermitteln</w:t>
      </w:r>
      <w:r w:rsidR="00305A6B">
        <w:t xml:space="preserve"> (Monitoring-Endbericht).</w:t>
      </w:r>
      <w:r w:rsidR="00BB0A4D" w:rsidRPr="00BB0A4D">
        <w:t xml:space="preserve"> </w:t>
      </w:r>
    </w:p>
    <w:p w14:paraId="586A10D8" w14:textId="78151E2F" w:rsidR="00BB0A4D" w:rsidRDefault="00305A6B" w:rsidP="00BB0A4D">
      <w:r>
        <w:t>Ein Jahr nach Inbetriebnahme ist ein Monitoring-Zwischenbericht an die FFG zu legen.</w:t>
      </w:r>
      <w:r w:rsidR="00BB0A4D" w:rsidRPr="00BB0A4D">
        <w:t xml:space="preserve"> </w:t>
      </w:r>
    </w:p>
    <w:p w14:paraId="18F5AAB5" w14:textId="0A4FB556" w:rsidR="00CF4095" w:rsidRDefault="00E215A4" w:rsidP="00BB0A4D">
      <w:r>
        <w:t xml:space="preserve">Die Übermittlung der </w:t>
      </w:r>
      <w:r w:rsidR="00305A6B">
        <w:t>vollständigen Auswertungsergebnisse</w:t>
      </w:r>
      <w:r>
        <w:t xml:space="preserve"> erfolgt grundsätzlich per e-</w:t>
      </w:r>
      <w:proofErr w:type="spellStart"/>
      <w:r>
        <w:t>call</w:t>
      </w:r>
      <w:proofErr w:type="spellEnd"/>
      <w:r>
        <w:t xml:space="preserve"> in einem jeweils aktuellen MS Word oder </w:t>
      </w:r>
      <w:r w:rsidR="00261FC9">
        <w:t xml:space="preserve">MS </w:t>
      </w:r>
      <w:r w:rsidR="00CF4095">
        <w:t>Excel-Format.</w:t>
      </w:r>
    </w:p>
    <w:p w14:paraId="48AD87F1" w14:textId="5AD63B27" w:rsidR="00BB0A4D" w:rsidRDefault="00305A6B" w:rsidP="00BB0A4D">
      <w:r>
        <w:t xml:space="preserve">Darüber hinaus sind zeitgleich mit dem Monitoring-Endbericht sämtliche Basisdaten, insbesondere detaillierte Datenreihen aus dem Energieverbrauchs- und </w:t>
      </w:r>
      <w:proofErr w:type="spellStart"/>
      <w:r>
        <w:t>Komfortmonitoring</w:t>
      </w:r>
      <w:proofErr w:type="spellEnd"/>
      <w:r>
        <w:t xml:space="preserve"> vom </w:t>
      </w:r>
      <w:r w:rsidR="00636CFE">
        <w:t xml:space="preserve">Fördernehmer bzw. der Fördernehmerin </w:t>
      </w:r>
      <w:r>
        <w:t xml:space="preserve">an die FFG zu übermitteln. Diese Daten sind auf Datenträger in </w:t>
      </w:r>
      <w:r w:rsidR="00261FC9">
        <w:t xml:space="preserve">einem offenen, technologieunabhängigen </w:t>
      </w:r>
      <w:r>
        <w:t xml:space="preserve">Datenformat zu übermitteln. </w:t>
      </w:r>
    </w:p>
    <w:p w14:paraId="073C31BD" w14:textId="5B11BFDE" w:rsidR="00BB0A4D" w:rsidRDefault="00636CFE" w:rsidP="00BB0A4D">
      <w:r w:rsidRPr="00023CCD">
        <w:rPr>
          <w:b/>
        </w:rPr>
        <w:t xml:space="preserve">Der/die </w:t>
      </w:r>
      <w:proofErr w:type="spellStart"/>
      <w:r w:rsidRPr="00023CCD">
        <w:rPr>
          <w:b/>
        </w:rPr>
        <w:t>FördernehmerIn</w:t>
      </w:r>
      <w:proofErr w:type="spellEnd"/>
      <w:r w:rsidRPr="00023CCD">
        <w:rPr>
          <w:b/>
        </w:rPr>
        <w:t xml:space="preserve"> </w:t>
      </w:r>
      <w:r w:rsidR="00B64FDD" w:rsidRPr="00023CCD">
        <w:rPr>
          <w:b/>
        </w:rPr>
        <w:t>stimmt zu, dass die an die FFG übermittelten Auswertungen und Ergebnisse an von der FFG beauftragte Dritte weitergegeben werden können</w:t>
      </w:r>
      <w:r w:rsidR="00B64FDD">
        <w:t>, insbesondere für demoprojektübergreifende Darstellungen und Broschüren.</w:t>
      </w:r>
      <w:r w:rsidR="00BB0A4D" w:rsidRPr="00BB0A4D">
        <w:t xml:space="preserve"> </w:t>
      </w:r>
    </w:p>
    <w:p w14:paraId="628B543B" w14:textId="20750F18" w:rsidR="00BB0A4D" w:rsidRDefault="00B64FDD" w:rsidP="00BB0A4D">
      <w:r>
        <w:t>Für den Fall, dass Monitoring</w:t>
      </w:r>
      <w:r w:rsidR="00497331">
        <w:t>- und Evaluierungs</w:t>
      </w:r>
      <w:r>
        <w:t>leistungen von der FFG an Dritte vergeben werden, stimmt der Auftraggeber zu, dass für Monitoring</w:t>
      </w:r>
      <w:r w:rsidR="00497331">
        <w:t>- und Evaluierungs</w:t>
      </w:r>
      <w:r>
        <w:t xml:space="preserve">zwecke </w:t>
      </w:r>
      <w:r w:rsidR="00497331">
        <w:t xml:space="preserve">der Zugang zu den erforderlichen Räumlichkeiten (insbesondere Haustechnikanlagen, ausgewählte Nutzungseinheiten) sowie die vorübergehende Anbringung von Messeinrichtungen gewährleistet wird. Diese Zustimmung umfasst auch die </w:t>
      </w:r>
      <w:r w:rsidR="00497331" w:rsidRPr="00023CCD">
        <w:rPr>
          <w:b/>
        </w:rPr>
        <w:t xml:space="preserve">Durchführung von Interviews oder </w:t>
      </w:r>
      <w:proofErr w:type="spellStart"/>
      <w:r w:rsidR="00497331" w:rsidRPr="00023CCD">
        <w:rPr>
          <w:b/>
        </w:rPr>
        <w:t>NutzerInnenbefragungen</w:t>
      </w:r>
      <w:proofErr w:type="spellEnd"/>
      <w:r w:rsidR="00497331" w:rsidRPr="00023CCD">
        <w:rPr>
          <w:b/>
        </w:rPr>
        <w:t xml:space="preserve"> durch Dritte </w:t>
      </w:r>
      <w:r w:rsidR="00497331">
        <w:t xml:space="preserve">vor Ort bzw. über Fragebogen oder Internet. </w:t>
      </w:r>
    </w:p>
    <w:p w14:paraId="140EDFF0" w14:textId="581810C9" w:rsidR="00BB0A4D" w:rsidRDefault="00497331" w:rsidP="00BB0A4D">
      <w:r w:rsidRPr="00023CCD">
        <w:rPr>
          <w:b/>
        </w:rPr>
        <w:t xml:space="preserve">Die Einhaltung sämtlicher datenschutzrechtlicher Bestimmungen </w:t>
      </w:r>
      <w:r w:rsidR="007E5C6F" w:rsidRPr="00023CCD">
        <w:rPr>
          <w:b/>
        </w:rPr>
        <w:t xml:space="preserve">gemäß aktueller Fassung des Datenschutzgesetzes </w:t>
      </w:r>
      <w:r w:rsidRPr="00023CCD">
        <w:rPr>
          <w:b/>
        </w:rPr>
        <w:t xml:space="preserve">obliegt dem </w:t>
      </w:r>
      <w:r w:rsidR="00636CFE" w:rsidRPr="00023CCD">
        <w:rPr>
          <w:b/>
        </w:rPr>
        <w:t>Förderwerber bzw. der Förderwerberin</w:t>
      </w:r>
      <w:r w:rsidRPr="00023CCD">
        <w:rPr>
          <w:b/>
        </w:rPr>
        <w:t>.</w:t>
      </w:r>
      <w:r>
        <w:t xml:space="preserve"> Insbesondere ist dafür Sorge zu tragen, dass sämtliche </w:t>
      </w:r>
      <w:r w:rsidR="00F22433">
        <w:t xml:space="preserve">personenbezogenen </w:t>
      </w:r>
      <w:r>
        <w:t xml:space="preserve">Daten </w:t>
      </w:r>
      <w:r w:rsidR="00F22433">
        <w:t xml:space="preserve">bzw. Daten aus denen das Verhalten oder die Lebensgewohnheiten einzelner </w:t>
      </w:r>
      <w:proofErr w:type="spellStart"/>
      <w:r w:rsidR="00F22433">
        <w:t>NutzerInnen</w:t>
      </w:r>
      <w:proofErr w:type="spellEnd"/>
      <w:r w:rsidR="00F22433">
        <w:t xml:space="preserve"> ableitbar wäre</w:t>
      </w:r>
      <w:r w:rsidR="00716072">
        <w:t>n</w:t>
      </w:r>
      <w:r w:rsidR="00F22433">
        <w:t xml:space="preserve">, anonymisiert werden. </w:t>
      </w:r>
    </w:p>
    <w:p w14:paraId="53991F50" w14:textId="77777777" w:rsidR="00BB0A4D" w:rsidRDefault="00BB0A4D" w:rsidP="00BB0A4D"/>
    <w:p w14:paraId="73FE5A1D" w14:textId="77777777" w:rsidR="00BB0A4D" w:rsidRDefault="00BB0A4D" w:rsidP="00BB0A4D"/>
    <w:p w14:paraId="68FBC352" w14:textId="77777777" w:rsidR="00636CFE" w:rsidRDefault="00636CFE">
      <w:pPr>
        <w:spacing w:after="0" w:line="240" w:lineRule="auto"/>
        <w:jc w:val="left"/>
        <w:rPr>
          <w:rFonts w:cs="Arial"/>
          <w:b/>
          <w:bCs/>
          <w:iCs/>
          <w:sz w:val="28"/>
          <w:szCs w:val="28"/>
        </w:rPr>
      </w:pPr>
      <w:r>
        <w:br w:type="page"/>
      </w:r>
    </w:p>
    <w:p w14:paraId="523DDDFC" w14:textId="52CEF78D" w:rsidR="00F9379C" w:rsidRPr="00421F71" w:rsidRDefault="00F9379C" w:rsidP="00A06A15">
      <w:pPr>
        <w:pStyle w:val="berschrift1"/>
        <w:pBdr>
          <w:bottom w:val="none" w:sz="0" w:space="0" w:color="auto"/>
        </w:pBdr>
      </w:pPr>
      <w:bookmarkStart w:id="12" w:name="_Toc430627274"/>
      <w:r>
        <w:lastRenderedPageBreak/>
        <w:t>Literatur</w:t>
      </w:r>
      <w:bookmarkEnd w:id="12"/>
    </w:p>
    <w:p w14:paraId="4BF6EC7E" w14:textId="5ADB8553" w:rsidR="007E5C6F" w:rsidRDefault="007E5C6F" w:rsidP="00BB0A4D">
      <w:r>
        <w:t>RIS: Datenschutzgesetz 2014.</w:t>
      </w:r>
    </w:p>
    <w:p w14:paraId="32E13AAA" w14:textId="77777777" w:rsidR="004708ED" w:rsidRDefault="004708ED" w:rsidP="00BB0A4D"/>
    <w:p w14:paraId="0093958A" w14:textId="38DC8A41" w:rsidR="00BB0A4D" w:rsidRDefault="006346EE" w:rsidP="00BB0A4D">
      <w:r>
        <w:t xml:space="preserve">Klima- und Energiefonds (2015): Leitfaden Mustersanierung – Anhang 1 „Erforderliches </w:t>
      </w:r>
      <w:proofErr w:type="spellStart"/>
      <w:r>
        <w:t>Energieverbrauchsmonitoring</w:t>
      </w:r>
      <w:proofErr w:type="spellEnd"/>
      <w:r>
        <w:t>“ (EVM). Wien.</w:t>
      </w:r>
      <w:r w:rsidR="00BB0A4D" w:rsidRPr="00BB0A4D">
        <w:t xml:space="preserve"> </w:t>
      </w:r>
    </w:p>
    <w:p w14:paraId="05944E73" w14:textId="77777777" w:rsidR="004708ED" w:rsidRDefault="004708ED" w:rsidP="00BB0A4D"/>
    <w:p w14:paraId="7FB09F26" w14:textId="35D681AC" w:rsidR="00BB0A4D" w:rsidRDefault="00F9379C" w:rsidP="00BB0A4D">
      <w:r>
        <w:t>ÖNORM EN 15603 (Entwurf 2013): Energetische Bewertung von Gebäuden – Rahmennorm zur Europäischen Gebäuderichtlinie.</w:t>
      </w:r>
      <w:r w:rsidR="006346EE">
        <w:t xml:space="preserve"> Wien.</w:t>
      </w:r>
      <w:r w:rsidR="00BB0A4D" w:rsidRPr="00BB0A4D">
        <w:t xml:space="preserve"> </w:t>
      </w:r>
    </w:p>
    <w:p w14:paraId="25923838" w14:textId="77777777" w:rsidR="004708ED" w:rsidRDefault="004708ED" w:rsidP="00BB0A4D"/>
    <w:p w14:paraId="0139698C" w14:textId="1292CCF8" w:rsidR="00BB0A4D" w:rsidRDefault="00F9379C" w:rsidP="00BB0A4D">
      <w:r>
        <w:t xml:space="preserve">Steiner, Tobias, </w:t>
      </w:r>
      <w:proofErr w:type="spellStart"/>
      <w:r>
        <w:t>Huemer-Kals</w:t>
      </w:r>
      <w:proofErr w:type="spellEnd"/>
      <w:r>
        <w:t xml:space="preserve">, Veronika, </w:t>
      </w:r>
      <w:proofErr w:type="spellStart"/>
      <w:r>
        <w:t>Bintinger</w:t>
      </w:r>
      <w:proofErr w:type="spellEnd"/>
      <w:r>
        <w:t>, Rudolf und Lipp, Bernhard (2014): Monitoring von Plus Energie Gebäuden. Herausgegeben vom IBO – Österreichisches Institut für Bauen und Ökologie GmbH in Kooperation mit Österreichisches Ökologie-Institut im Rahmen des Programms „Haus der Zukunft Plus“.</w:t>
      </w:r>
      <w:r w:rsidR="006346EE">
        <w:t xml:space="preserve"> Wien.</w:t>
      </w:r>
      <w:r w:rsidR="00BB0A4D" w:rsidRPr="00BB0A4D">
        <w:t xml:space="preserve"> </w:t>
      </w:r>
    </w:p>
    <w:p w14:paraId="2A7DF6DE" w14:textId="77777777" w:rsidR="00516DE9" w:rsidRPr="00516DE9" w:rsidRDefault="00516DE9" w:rsidP="00516DE9"/>
    <w:sectPr w:rsidR="00516DE9" w:rsidRPr="00516DE9" w:rsidSect="004E7913">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985" w:right="1134" w:bottom="1440" w:left="1701" w:header="907" w:footer="680" w:gutter="0"/>
      <w:pgNumType w:start="1" w:chapSep="colo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1F544" w14:textId="77777777" w:rsidR="001C057F" w:rsidRDefault="001C057F">
      <w:r>
        <w:separator/>
      </w:r>
    </w:p>
    <w:p w14:paraId="110B19EE" w14:textId="77777777" w:rsidR="001C057F" w:rsidRDefault="001C057F"/>
  </w:endnote>
  <w:endnote w:type="continuationSeparator" w:id="0">
    <w:p w14:paraId="678AA704" w14:textId="77777777" w:rsidR="001C057F" w:rsidRDefault="001C057F">
      <w:r>
        <w:continuationSeparator/>
      </w:r>
    </w:p>
    <w:p w14:paraId="4D363452" w14:textId="77777777" w:rsidR="001C057F" w:rsidRDefault="001C0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D00E9" w14:textId="77777777" w:rsidR="001C057F" w:rsidRPr="002D71E8" w:rsidRDefault="001C057F" w:rsidP="002D71E8"/>
  <w:p w14:paraId="2C08DD96" w14:textId="006E4FC2" w:rsidR="001C057F" w:rsidRDefault="006A4CEC" w:rsidP="00A06A15">
    <w:pPr>
      <w:pStyle w:val="Fuzeile"/>
      <w:pBdr>
        <w:top w:val="single" w:sz="4" w:space="1" w:color="auto"/>
      </w:pBdr>
      <w:tabs>
        <w:tab w:val="clear" w:pos="9406"/>
        <w:tab w:val="right" w:pos="9127"/>
      </w:tabs>
      <w:jc w:val="right"/>
    </w:pPr>
    <w:proofErr w:type="spellStart"/>
    <w:r>
      <w:t>SdZ</w:t>
    </w:r>
    <w:proofErr w:type="spellEnd"/>
    <w:r>
      <w:t xml:space="preserve"> Vertragsbeilage für Demonstrationsgebäude V1.0 28.9.2016</w:t>
    </w:r>
    <w:r w:rsidR="00A06A15">
      <w:tab/>
    </w:r>
    <w:r w:rsidR="001C057F">
      <w:fldChar w:fldCharType="begin"/>
    </w:r>
    <w:r w:rsidR="001C057F">
      <w:instrText xml:space="preserve"> PAGE  \* Arabic  \* MERGEFORMAT </w:instrText>
    </w:r>
    <w:r w:rsidR="001C057F">
      <w:fldChar w:fldCharType="separate"/>
    </w:r>
    <w:r w:rsidR="00E17BE9">
      <w:rPr>
        <w:noProof/>
      </w:rPr>
      <w:t>2</w:t>
    </w:r>
    <w:r w:rsidR="001C057F">
      <w:fldChar w:fldCharType="end"/>
    </w:r>
    <w:r w:rsidR="001C057F">
      <w:tab/>
    </w:r>
    <w:r w:rsidR="001C05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4AF59" w14:textId="77777777" w:rsidR="001C057F" w:rsidRPr="002D71E8" w:rsidRDefault="001C057F" w:rsidP="002D71E8"/>
  <w:p w14:paraId="7B77B9E0" w14:textId="332A1008" w:rsidR="001C057F" w:rsidRDefault="001C057F" w:rsidP="00F447C5">
    <w:pPr>
      <w:pStyle w:val="Fuzeile"/>
      <w:tabs>
        <w:tab w:val="clear" w:pos="4703"/>
        <w:tab w:val="clear" w:pos="9406"/>
        <w:tab w:val="center" w:pos="4536"/>
        <w:tab w:val="right" w:pos="9071"/>
      </w:tabs>
      <w:ind w:right="1"/>
    </w:pPr>
    <w:r>
      <w:tab/>
    </w:r>
    <w:r>
      <w:tab/>
    </w:r>
    <w:r>
      <w:fldChar w:fldCharType="begin"/>
    </w:r>
    <w:r>
      <w:instrText xml:space="preserve"> PAGE  \* Arabic  \* MERGEFORMAT </w:instrText>
    </w:r>
    <w:r>
      <w:fldChar w:fldCharType="separate"/>
    </w:r>
    <w:r w:rsidR="00393E8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82CBE" w14:textId="13983D30" w:rsidR="001C057F" w:rsidRPr="005B372F" w:rsidRDefault="001C057F" w:rsidP="00F447C5">
    <w:pPr>
      <w:pStyle w:val="Fuzeile"/>
      <w:tabs>
        <w:tab w:val="clear" w:pos="4703"/>
        <w:tab w:val="clear" w:pos="9406"/>
        <w:tab w:val="center" w:pos="4536"/>
        <w:tab w:val="right" w:pos="9071"/>
      </w:tabs>
      <w:ind w:right="1"/>
    </w:pPr>
    <w:r>
      <w:tab/>
    </w:r>
    <w:r>
      <w:tab/>
    </w:r>
    <w:r>
      <w:fldChar w:fldCharType="begin"/>
    </w:r>
    <w:r>
      <w:instrText xml:space="preserve"> PAGE  \* Arabic  \* MERGEFORMAT </w:instrText>
    </w:r>
    <w:r>
      <w:fldChar w:fldCharType="separate"/>
    </w:r>
    <w:r w:rsidR="00393E89">
      <w:rPr>
        <w:noProof/>
      </w:rPr>
      <w:t>1</w:t>
    </w:r>
    <w:r>
      <w:fldChar w:fldCharType="end"/>
    </w:r>
    <w:r>
      <w:t xml:space="preserve"> von </w:t>
    </w:r>
    <w:r w:rsidR="00E716AD">
      <w:fldChar w:fldCharType="begin"/>
    </w:r>
    <w:r w:rsidR="00E716AD">
      <w:instrText xml:space="preserve"> SECTIONPAGES  \* Arabic  \* MERGEFORMAT </w:instrText>
    </w:r>
    <w:r w:rsidR="00E716AD">
      <w:fldChar w:fldCharType="separate"/>
    </w:r>
    <w:r w:rsidR="00393E89">
      <w:rPr>
        <w:noProof/>
      </w:rPr>
      <w:t>13</w:t>
    </w:r>
    <w:r w:rsidR="00E716AD">
      <w:rPr>
        <w:noProof/>
      </w:rPr>
      <w:fldChar w:fldCharType="end"/>
    </w:r>
  </w:p>
  <w:p w14:paraId="6E297320" w14:textId="77777777" w:rsidR="001C057F" w:rsidRDefault="001C05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F2693" w14:textId="77777777" w:rsidR="001C057F" w:rsidRDefault="001C057F">
      <w:r>
        <w:separator/>
      </w:r>
    </w:p>
  </w:footnote>
  <w:footnote w:type="continuationSeparator" w:id="0">
    <w:p w14:paraId="062B4689" w14:textId="77777777" w:rsidR="001C057F" w:rsidRDefault="001C0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0EB5" w14:textId="332DC724" w:rsidR="00023CCD" w:rsidRDefault="00023CCD" w:rsidP="00023CCD">
    <w:pPr>
      <w:pStyle w:val="Kopfzeile"/>
      <w:tabs>
        <w:tab w:val="clear" w:pos="9406"/>
        <w:tab w:val="right" w:pos="9071"/>
      </w:tabs>
      <w:jc w:val="left"/>
    </w:pPr>
    <w:r>
      <w:t xml:space="preserve">Stadt der </w:t>
    </w:r>
    <w:r w:rsidR="00393E89">
      <w:t>Zukunft  4</w:t>
    </w:r>
    <w:r>
      <w:t>. Ausschreibung - Vertragsbeilage für das Monitoring von Demonstrationsgebäuden</w:t>
    </w:r>
  </w:p>
  <w:p w14:paraId="79EF36DB" w14:textId="77777777" w:rsidR="001C057F" w:rsidRDefault="001C05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89CA1" w14:textId="501F6700" w:rsidR="00023CCD" w:rsidRDefault="00023CCD" w:rsidP="00023CCD">
    <w:pPr>
      <w:pStyle w:val="Kopfzeile"/>
      <w:tabs>
        <w:tab w:val="clear" w:pos="9406"/>
        <w:tab w:val="right" w:pos="9071"/>
      </w:tabs>
      <w:jc w:val="left"/>
    </w:pPr>
    <w:r>
      <w:t>S</w:t>
    </w:r>
    <w:r w:rsidR="00393E89">
      <w:t>tadt der Zukunft  4</w:t>
    </w:r>
    <w:r>
      <w:t>. Ausschreibung - Vertragsbeilage für das Monitoring von Demonstrationsgebäuden</w:t>
    </w:r>
  </w:p>
  <w:p w14:paraId="7293F7A1" w14:textId="77777777" w:rsidR="001C057F" w:rsidRDefault="001C05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CFC21" w14:textId="77777777" w:rsidR="001C057F" w:rsidRDefault="001C057F" w:rsidP="004736FB"/>
  <w:p w14:paraId="2451520F" w14:textId="77777777" w:rsidR="001C057F" w:rsidRDefault="001C05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1DCF"/>
    <w:multiLevelType w:val="multilevel"/>
    <w:tmpl w:val="A7DE6B60"/>
    <w:numStyleLink w:val="Aufzhlung"/>
  </w:abstractNum>
  <w:abstractNum w:abstractNumId="1">
    <w:nsid w:val="05E728EA"/>
    <w:multiLevelType w:val="multilevel"/>
    <w:tmpl w:val="A7DE6B60"/>
    <w:lvl w:ilvl="0">
      <w:start w:val="1"/>
      <w:numFmt w:val="bullet"/>
      <w:lvlText w:val=""/>
      <w:lvlJc w:val="left"/>
      <w:pPr>
        <w:tabs>
          <w:tab w:val="num" w:pos="907"/>
        </w:tabs>
        <w:ind w:left="907" w:hanging="340"/>
      </w:pPr>
      <w:rPr>
        <w:rFonts w:ascii="Wingdings" w:hAnsi="Wingdings" w:hint="default"/>
        <w:color w:val="E35114"/>
        <w:sz w:val="22"/>
      </w:rPr>
    </w:lvl>
    <w:lvl w:ilvl="1">
      <w:start w:val="1"/>
      <w:numFmt w:val="bullet"/>
      <w:lvlText w:val=""/>
      <w:lvlJc w:val="left"/>
      <w:pPr>
        <w:tabs>
          <w:tab w:val="num" w:pos="1440"/>
        </w:tabs>
        <w:ind w:left="1440" w:hanging="360"/>
      </w:pPr>
      <w:rPr>
        <w:rFonts w:ascii="Wingdings" w:hAnsi="Wingdings" w:hint="default"/>
        <w:color w:val="E35114"/>
      </w:rPr>
    </w:lvl>
    <w:lvl w:ilvl="2">
      <w:start w:val="1"/>
      <w:numFmt w:val="bullet"/>
      <w:lvlText w:val=""/>
      <w:lvlJc w:val="left"/>
      <w:pPr>
        <w:tabs>
          <w:tab w:val="num" w:pos="2160"/>
        </w:tabs>
        <w:ind w:left="2160" w:hanging="360"/>
      </w:pPr>
      <w:rPr>
        <w:rFonts w:ascii="Wingdings" w:hAnsi="Wingdings" w:hint="default"/>
        <w:color w:val="E35114"/>
      </w:rPr>
    </w:lvl>
    <w:lvl w:ilvl="3">
      <w:start w:val="1"/>
      <w:numFmt w:val="bullet"/>
      <w:lvlText w:val=""/>
      <w:lvlJc w:val="left"/>
      <w:pPr>
        <w:tabs>
          <w:tab w:val="num" w:pos="2880"/>
        </w:tabs>
        <w:ind w:left="2880" w:hanging="360"/>
      </w:pPr>
      <w:rPr>
        <w:rFonts w:ascii="Wingdings" w:hAnsi="Wingdings" w:hint="default"/>
        <w:color w:val="E35114"/>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2744C6"/>
    <w:multiLevelType w:val="multilevel"/>
    <w:tmpl w:val="A7DE6B60"/>
    <w:numStyleLink w:val="Aufzhlung"/>
  </w:abstractNum>
  <w:abstractNum w:abstractNumId="3">
    <w:nsid w:val="11F10819"/>
    <w:multiLevelType w:val="hybridMultilevel"/>
    <w:tmpl w:val="30A44B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A06073E"/>
    <w:multiLevelType w:val="hybridMultilevel"/>
    <w:tmpl w:val="070819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CBD286C"/>
    <w:multiLevelType w:val="hybridMultilevel"/>
    <w:tmpl w:val="0024B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2497ABA"/>
    <w:multiLevelType w:val="hybridMultilevel"/>
    <w:tmpl w:val="FA7E7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D640AC0"/>
    <w:multiLevelType w:val="hybridMultilevel"/>
    <w:tmpl w:val="528C4C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F71386F"/>
    <w:multiLevelType w:val="multilevel"/>
    <w:tmpl w:val="A7DE6B60"/>
    <w:numStyleLink w:val="Aufzhlung"/>
  </w:abstractNum>
  <w:abstractNum w:abstractNumId="9">
    <w:nsid w:val="3053275B"/>
    <w:multiLevelType w:val="hybridMultilevel"/>
    <w:tmpl w:val="F4A4C350"/>
    <w:lvl w:ilvl="0" w:tplc="66AAF91A">
      <w:start w:val="1"/>
      <w:numFmt w:val="bullet"/>
      <w:lvlText w:val=""/>
      <w:lvlJc w:val="left"/>
      <w:pPr>
        <w:ind w:left="792" w:hanging="360"/>
      </w:pPr>
      <w:rPr>
        <w:rFonts w:ascii="Wingdings" w:hAnsi="Wingdings" w:hint="default"/>
        <w:color w:val="E35114"/>
      </w:rPr>
    </w:lvl>
    <w:lvl w:ilvl="1" w:tplc="0C070003" w:tentative="1">
      <w:start w:val="1"/>
      <w:numFmt w:val="bullet"/>
      <w:lvlText w:val="o"/>
      <w:lvlJc w:val="left"/>
      <w:pPr>
        <w:ind w:left="1512" w:hanging="360"/>
      </w:pPr>
      <w:rPr>
        <w:rFonts w:ascii="Courier New" w:hAnsi="Courier New" w:cs="Courier New" w:hint="default"/>
      </w:rPr>
    </w:lvl>
    <w:lvl w:ilvl="2" w:tplc="0C070005" w:tentative="1">
      <w:start w:val="1"/>
      <w:numFmt w:val="bullet"/>
      <w:lvlText w:val=""/>
      <w:lvlJc w:val="left"/>
      <w:pPr>
        <w:ind w:left="2232" w:hanging="360"/>
      </w:pPr>
      <w:rPr>
        <w:rFonts w:ascii="Wingdings" w:hAnsi="Wingdings" w:hint="default"/>
      </w:rPr>
    </w:lvl>
    <w:lvl w:ilvl="3" w:tplc="0C070001" w:tentative="1">
      <w:start w:val="1"/>
      <w:numFmt w:val="bullet"/>
      <w:lvlText w:val=""/>
      <w:lvlJc w:val="left"/>
      <w:pPr>
        <w:ind w:left="2952" w:hanging="360"/>
      </w:pPr>
      <w:rPr>
        <w:rFonts w:ascii="Symbol" w:hAnsi="Symbol" w:hint="default"/>
      </w:rPr>
    </w:lvl>
    <w:lvl w:ilvl="4" w:tplc="0C070003" w:tentative="1">
      <w:start w:val="1"/>
      <w:numFmt w:val="bullet"/>
      <w:lvlText w:val="o"/>
      <w:lvlJc w:val="left"/>
      <w:pPr>
        <w:ind w:left="3672" w:hanging="360"/>
      </w:pPr>
      <w:rPr>
        <w:rFonts w:ascii="Courier New" w:hAnsi="Courier New" w:cs="Courier New" w:hint="default"/>
      </w:rPr>
    </w:lvl>
    <w:lvl w:ilvl="5" w:tplc="0C070005" w:tentative="1">
      <w:start w:val="1"/>
      <w:numFmt w:val="bullet"/>
      <w:lvlText w:val=""/>
      <w:lvlJc w:val="left"/>
      <w:pPr>
        <w:ind w:left="4392" w:hanging="360"/>
      </w:pPr>
      <w:rPr>
        <w:rFonts w:ascii="Wingdings" w:hAnsi="Wingdings" w:hint="default"/>
      </w:rPr>
    </w:lvl>
    <w:lvl w:ilvl="6" w:tplc="0C070001" w:tentative="1">
      <w:start w:val="1"/>
      <w:numFmt w:val="bullet"/>
      <w:lvlText w:val=""/>
      <w:lvlJc w:val="left"/>
      <w:pPr>
        <w:ind w:left="5112" w:hanging="360"/>
      </w:pPr>
      <w:rPr>
        <w:rFonts w:ascii="Symbol" w:hAnsi="Symbol" w:hint="default"/>
      </w:rPr>
    </w:lvl>
    <w:lvl w:ilvl="7" w:tplc="0C070003" w:tentative="1">
      <w:start w:val="1"/>
      <w:numFmt w:val="bullet"/>
      <w:lvlText w:val="o"/>
      <w:lvlJc w:val="left"/>
      <w:pPr>
        <w:ind w:left="5832" w:hanging="360"/>
      </w:pPr>
      <w:rPr>
        <w:rFonts w:ascii="Courier New" w:hAnsi="Courier New" w:cs="Courier New" w:hint="default"/>
      </w:rPr>
    </w:lvl>
    <w:lvl w:ilvl="8" w:tplc="0C070005" w:tentative="1">
      <w:start w:val="1"/>
      <w:numFmt w:val="bullet"/>
      <w:lvlText w:val=""/>
      <w:lvlJc w:val="left"/>
      <w:pPr>
        <w:ind w:left="6552" w:hanging="360"/>
      </w:pPr>
      <w:rPr>
        <w:rFonts w:ascii="Wingdings" w:hAnsi="Wingdings" w:hint="default"/>
      </w:rPr>
    </w:lvl>
  </w:abstractNum>
  <w:abstractNum w:abstractNumId="10">
    <w:nsid w:val="333E164E"/>
    <w:multiLevelType w:val="hybridMultilevel"/>
    <w:tmpl w:val="E0220020"/>
    <w:lvl w:ilvl="0" w:tplc="7BCCDA84">
      <w:start w:val="1"/>
      <w:numFmt w:val="bullet"/>
      <w:lvlText w:val=""/>
      <w:lvlJc w:val="left"/>
      <w:pPr>
        <w:ind w:left="720" w:hanging="360"/>
      </w:pPr>
      <w:rPr>
        <w:rFonts w:ascii="Wingdings" w:hAnsi="Wingdings" w:hint="default"/>
        <w:color w:val="E35114"/>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94F5E12"/>
    <w:multiLevelType w:val="hybridMultilevel"/>
    <w:tmpl w:val="4DF2D352"/>
    <w:lvl w:ilvl="0" w:tplc="7BCCDA84">
      <w:start w:val="1"/>
      <w:numFmt w:val="bullet"/>
      <w:lvlText w:val=""/>
      <w:lvlJc w:val="left"/>
      <w:pPr>
        <w:ind w:left="720" w:hanging="360"/>
      </w:pPr>
      <w:rPr>
        <w:rFonts w:ascii="Wingdings" w:hAnsi="Wingdings" w:hint="default"/>
        <w:color w:val="E35114"/>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C122FAC"/>
    <w:multiLevelType w:val="hybridMultilevel"/>
    <w:tmpl w:val="4B22BB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7B80EC0"/>
    <w:multiLevelType w:val="hybridMultilevel"/>
    <w:tmpl w:val="42087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8B053D6"/>
    <w:multiLevelType w:val="hybridMultilevel"/>
    <w:tmpl w:val="07A45E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AA266E1"/>
    <w:multiLevelType w:val="hybridMultilevel"/>
    <w:tmpl w:val="48FE9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B367E5F"/>
    <w:multiLevelType w:val="multilevel"/>
    <w:tmpl w:val="A7DE6B60"/>
    <w:styleLink w:val="Aufzhlung"/>
    <w:lvl w:ilvl="0">
      <w:start w:val="1"/>
      <w:numFmt w:val="bullet"/>
      <w:lvlText w:val=""/>
      <w:lvlJc w:val="left"/>
      <w:pPr>
        <w:tabs>
          <w:tab w:val="num" w:pos="907"/>
        </w:tabs>
        <w:ind w:left="907" w:hanging="340"/>
      </w:pPr>
      <w:rPr>
        <w:rFonts w:ascii="Wingdings" w:hAnsi="Wingdings" w:hint="default"/>
        <w:color w:val="E35114"/>
        <w:sz w:val="22"/>
      </w:rPr>
    </w:lvl>
    <w:lvl w:ilvl="1">
      <w:start w:val="1"/>
      <w:numFmt w:val="bullet"/>
      <w:lvlText w:val=""/>
      <w:lvlJc w:val="left"/>
      <w:pPr>
        <w:tabs>
          <w:tab w:val="num" w:pos="1440"/>
        </w:tabs>
        <w:ind w:left="1440" w:hanging="360"/>
      </w:pPr>
      <w:rPr>
        <w:rFonts w:ascii="Wingdings" w:hAnsi="Wingdings" w:hint="default"/>
        <w:color w:val="E35114"/>
      </w:rPr>
    </w:lvl>
    <w:lvl w:ilvl="2">
      <w:start w:val="1"/>
      <w:numFmt w:val="bullet"/>
      <w:lvlText w:val=""/>
      <w:lvlJc w:val="left"/>
      <w:pPr>
        <w:tabs>
          <w:tab w:val="num" w:pos="2160"/>
        </w:tabs>
        <w:ind w:left="2160" w:hanging="360"/>
      </w:pPr>
      <w:rPr>
        <w:rFonts w:ascii="Wingdings" w:hAnsi="Wingdings" w:hint="default"/>
        <w:color w:val="E35114"/>
      </w:rPr>
    </w:lvl>
    <w:lvl w:ilvl="3">
      <w:start w:val="1"/>
      <w:numFmt w:val="bullet"/>
      <w:lvlText w:val=""/>
      <w:lvlJc w:val="left"/>
      <w:pPr>
        <w:tabs>
          <w:tab w:val="num" w:pos="2880"/>
        </w:tabs>
        <w:ind w:left="2880" w:hanging="360"/>
      </w:pPr>
      <w:rPr>
        <w:rFonts w:ascii="Wingdings" w:hAnsi="Wingdings" w:hint="default"/>
        <w:color w:val="E35114"/>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0EB6077"/>
    <w:multiLevelType w:val="hybridMultilevel"/>
    <w:tmpl w:val="119848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7142C90"/>
    <w:multiLevelType w:val="multilevel"/>
    <w:tmpl w:val="5792F820"/>
    <w:lvl w:ilvl="0">
      <w:start w:val="1"/>
      <w:numFmt w:val="decimal"/>
      <w:pStyle w:val="berschrift1"/>
      <w:lvlText w:val="%1"/>
      <w:lvlJc w:val="left"/>
      <w:pPr>
        <w:tabs>
          <w:tab w:val="num" w:pos="432"/>
        </w:tabs>
        <w:ind w:left="432" w:hanging="432"/>
      </w:pPr>
      <w:rPr>
        <w:rFonts w:hint="default"/>
        <w:color w:val="auto"/>
      </w:rPr>
    </w:lvl>
    <w:lvl w:ilvl="1">
      <w:start w:val="1"/>
      <w:numFmt w:val="decimal"/>
      <w:pStyle w:val="berschrift2"/>
      <w:lvlText w:val="%1.%2"/>
      <w:lvlJc w:val="left"/>
      <w:pPr>
        <w:tabs>
          <w:tab w:val="num" w:pos="576"/>
        </w:tabs>
        <w:ind w:left="576" w:hanging="576"/>
      </w:pPr>
      <w:rPr>
        <w:rFonts w:hint="default"/>
        <w:color w:val="auto"/>
      </w:rPr>
    </w:lvl>
    <w:lvl w:ilvl="2">
      <w:start w:val="1"/>
      <w:numFmt w:val="decimal"/>
      <w:pStyle w:val="berschrift3"/>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584"/>
        </w:tabs>
        <w:ind w:left="1584" w:hanging="1584"/>
      </w:pPr>
      <w:rPr>
        <w:rFonts w:hint="default"/>
        <w:color w:val="auto"/>
      </w:rPr>
    </w:lvl>
  </w:abstractNum>
  <w:abstractNum w:abstractNumId="19">
    <w:nsid w:val="6A6C785E"/>
    <w:multiLevelType w:val="multilevel"/>
    <w:tmpl w:val="A7DE6B60"/>
    <w:numStyleLink w:val="Aufzhlung"/>
  </w:abstractNum>
  <w:abstractNum w:abstractNumId="20">
    <w:nsid w:val="6A934916"/>
    <w:multiLevelType w:val="multilevel"/>
    <w:tmpl w:val="A7DE6B60"/>
    <w:numStyleLink w:val="Aufzhlung"/>
  </w:abstractNum>
  <w:abstractNum w:abstractNumId="21">
    <w:nsid w:val="6ABC7C81"/>
    <w:multiLevelType w:val="hybridMultilevel"/>
    <w:tmpl w:val="84D6A9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37A6354"/>
    <w:multiLevelType w:val="hybridMultilevel"/>
    <w:tmpl w:val="B3AA19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39F5C44"/>
    <w:multiLevelType w:val="hybridMultilevel"/>
    <w:tmpl w:val="D2BCF3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9D71165"/>
    <w:multiLevelType w:val="hybridMultilevel"/>
    <w:tmpl w:val="E9C4C7DE"/>
    <w:lvl w:ilvl="0" w:tplc="0C070003">
      <w:start w:val="1"/>
      <w:numFmt w:val="bullet"/>
      <w:lvlText w:val="o"/>
      <w:lvlJc w:val="left"/>
      <w:pPr>
        <w:ind w:left="1267" w:hanging="360"/>
      </w:pPr>
      <w:rPr>
        <w:rFonts w:ascii="Courier New" w:hAnsi="Courier New" w:cs="Courier New" w:hint="default"/>
      </w:rPr>
    </w:lvl>
    <w:lvl w:ilvl="1" w:tplc="0C070003" w:tentative="1">
      <w:start w:val="1"/>
      <w:numFmt w:val="bullet"/>
      <w:lvlText w:val="o"/>
      <w:lvlJc w:val="left"/>
      <w:pPr>
        <w:ind w:left="1987" w:hanging="360"/>
      </w:pPr>
      <w:rPr>
        <w:rFonts w:ascii="Courier New" w:hAnsi="Courier New" w:cs="Courier New" w:hint="default"/>
      </w:rPr>
    </w:lvl>
    <w:lvl w:ilvl="2" w:tplc="0C070005" w:tentative="1">
      <w:start w:val="1"/>
      <w:numFmt w:val="bullet"/>
      <w:lvlText w:val=""/>
      <w:lvlJc w:val="left"/>
      <w:pPr>
        <w:ind w:left="2707" w:hanging="360"/>
      </w:pPr>
      <w:rPr>
        <w:rFonts w:ascii="Wingdings" w:hAnsi="Wingdings" w:hint="default"/>
      </w:rPr>
    </w:lvl>
    <w:lvl w:ilvl="3" w:tplc="0C070001" w:tentative="1">
      <w:start w:val="1"/>
      <w:numFmt w:val="bullet"/>
      <w:lvlText w:val=""/>
      <w:lvlJc w:val="left"/>
      <w:pPr>
        <w:ind w:left="3427" w:hanging="360"/>
      </w:pPr>
      <w:rPr>
        <w:rFonts w:ascii="Symbol" w:hAnsi="Symbol" w:hint="default"/>
      </w:rPr>
    </w:lvl>
    <w:lvl w:ilvl="4" w:tplc="0C070003" w:tentative="1">
      <w:start w:val="1"/>
      <w:numFmt w:val="bullet"/>
      <w:lvlText w:val="o"/>
      <w:lvlJc w:val="left"/>
      <w:pPr>
        <w:ind w:left="4147" w:hanging="360"/>
      </w:pPr>
      <w:rPr>
        <w:rFonts w:ascii="Courier New" w:hAnsi="Courier New" w:cs="Courier New" w:hint="default"/>
      </w:rPr>
    </w:lvl>
    <w:lvl w:ilvl="5" w:tplc="0C070005" w:tentative="1">
      <w:start w:val="1"/>
      <w:numFmt w:val="bullet"/>
      <w:lvlText w:val=""/>
      <w:lvlJc w:val="left"/>
      <w:pPr>
        <w:ind w:left="4867" w:hanging="360"/>
      </w:pPr>
      <w:rPr>
        <w:rFonts w:ascii="Wingdings" w:hAnsi="Wingdings" w:hint="default"/>
      </w:rPr>
    </w:lvl>
    <w:lvl w:ilvl="6" w:tplc="0C070001" w:tentative="1">
      <w:start w:val="1"/>
      <w:numFmt w:val="bullet"/>
      <w:lvlText w:val=""/>
      <w:lvlJc w:val="left"/>
      <w:pPr>
        <w:ind w:left="5587" w:hanging="360"/>
      </w:pPr>
      <w:rPr>
        <w:rFonts w:ascii="Symbol" w:hAnsi="Symbol" w:hint="default"/>
      </w:rPr>
    </w:lvl>
    <w:lvl w:ilvl="7" w:tplc="0C070003" w:tentative="1">
      <w:start w:val="1"/>
      <w:numFmt w:val="bullet"/>
      <w:lvlText w:val="o"/>
      <w:lvlJc w:val="left"/>
      <w:pPr>
        <w:ind w:left="6307" w:hanging="360"/>
      </w:pPr>
      <w:rPr>
        <w:rFonts w:ascii="Courier New" w:hAnsi="Courier New" w:cs="Courier New" w:hint="default"/>
      </w:rPr>
    </w:lvl>
    <w:lvl w:ilvl="8" w:tplc="0C070005" w:tentative="1">
      <w:start w:val="1"/>
      <w:numFmt w:val="bullet"/>
      <w:lvlText w:val=""/>
      <w:lvlJc w:val="left"/>
      <w:pPr>
        <w:ind w:left="7027" w:hanging="360"/>
      </w:pPr>
      <w:rPr>
        <w:rFonts w:ascii="Wingdings" w:hAnsi="Wingdings" w:hint="default"/>
      </w:rPr>
    </w:lvl>
  </w:abstractNum>
  <w:abstractNum w:abstractNumId="25">
    <w:nsid w:val="7C3A0D3C"/>
    <w:multiLevelType w:val="hybridMultilevel"/>
    <w:tmpl w:val="FCB0A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E2226C3"/>
    <w:multiLevelType w:val="hybridMultilevel"/>
    <w:tmpl w:val="63F674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19"/>
  </w:num>
  <w:num w:numId="5">
    <w:abstractNumId w:val="2"/>
  </w:num>
  <w:num w:numId="6">
    <w:abstractNumId w:val="20"/>
  </w:num>
  <w:num w:numId="7">
    <w:abstractNumId w:val="8"/>
  </w:num>
  <w:num w:numId="8">
    <w:abstractNumId w:val="1"/>
  </w:num>
  <w:num w:numId="9">
    <w:abstractNumId w:val="5"/>
  </w:num>
  <w:num w:numId="10">
    <w:abstractNumId w:val="23"/>
  </w:num>
  <w:num w:numId="11">
    <w:abstractNumId w:val="13"/>
  </w:num>
  <w:num w:numId="12">
    <w:abstractNumId w:val="14"/>
  </w:num>
  <w:num w:numId="13">
    <w:abstractNumId w:val="25"/>
  </w:num>
  <w:num w:numId="14">
    <w:abstractNumId w:val="17"/>
  </w:num>
  <w:num w:numId="15">
    <w:abstractNumId w:val="4"/>
  </w:num>
  <w:num w:numId="16">
    <w:abstractNumId w:val="12"/>
  </w:num>
  <w:num w:numId="17">
    <w:abstractNumId w:val="26"/>
  </w:num>
  <w:num w:numId="18">
    <w:abstractNumId w:val="21"/>
  </w:num>
  <w:num w:numId="19">
    <w:abstractNumId w:val="7"/>
  </w:num>
  <w:num w:numId="20">
    <w:abstractNumId w:val="6"/>
  </w:num>
  <w:num w:numId="21">
    <w:abstractNumId w:val="22"/>
  </w:num>
  <w:num w:numId="22">
    <w:abstractNumId w:val="15"/>
  </w:num>
  <w:num w:numId="23">
    <w:abstractNumId w:val="11"/>
  </w:num>
  <w:num w:numId="24">
    <w:abstractNumId w:val="10"/>
  </w:num>
  <w:num w:numId="25">
    <w:abstractNumId w:val="24"/>
  </w:num>
  <w:num w:numId="26">
    <w:abstractNumId w:val="9"/>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0C"/>
    <w:rsid w:val="0000141B"/>
    <w:rsid w:val="00010A84"/>
    <w:rsid w:val="00012452"/>
    <w:rsid w:val="00017A12"/>
    <w:rsid w:val="00023378"/>
    <w:rsid w:val="00023CCD"/>
    <w:rsid w:val="00042B04"/>
    <w:rsid w:val="00046BDA"/>
    <w:rsid w:val="000607DA"/>
    <w:rsid w:val="00064DE7"/>
    <w:rsid w:val="00071624"/>
    <w:rsid w:val="000878F9"/>
    <w:rsid w:val="000A3B78"/>
    <w:rsid w:val="000A67FE"/>
    <w:rsid w:val="000B1950"/>
    <w:rsid w:val="000C59AC"/>
    <w:rsid w:val="000D6AA7"/>
    <w:rsid w:val="00102B44"/>
    <w:rsid w:val="0011675C"/>
    <w:rsid w:val="00127994"/>
    <w:rsid w:val="00131215"/>
    <w:rsid w:val="00136C9B"/>
    <w:rsid w:val="001400F7"/>
    <w:rsid w:val="0014229E"/>
    <w:rsid w:val="0014264C"/>
    <w:rsid w:val="001433C0"/>
    <w:rsid w:val="00147D86"/>
    <w:rsid w:val="00150D14"/>
    <w:rsid w:val="001564D3"/>
    <w:rsid w:val="00172515"/>
    <w:rsid w:val="0017376B"/>
    <w:rsid w:val="00181ABF"/>
    <w:rsid w:val="001A2474"/>
    <w:rsid w:val="001A6AC1"/>
    <w:rsid w:val="001C057F"/>
    <w:rsid w:val="001C631F"/>
    <w:rsid w:val="001C677A"/>
    <w:rsid w:val="001F13B3"/>
    <w:rsid w:val="002037F4"/>
    <w:rsid w:val="00203D28"/>
    <w:rsid w:val="002161EC"/>
    <w:rsid w:val="0022453D"/>
    <w:rsid w:val="002278A9"/>
    <w:rsid w:val="00260F1F"/>
    <w:rsid w:val="00261A43"/>
    <w:rsid w:val="00261FC9"/>
    <w:rsid w:val="00265357"/>
    <w:rsid w:val="0026757D"/>
    <w:rsid w:val="002753BE"/>
    <w:rsid w:val="002756B2"/>
    <w:rsid w:val="00276CE0"/>
    <w:rsid w:val="002777CC"/>
    <w:rsid w:val="00293264"/>
    <w:rsid w:val="002A502D"/>
    <w:rsid w:val="002B0639"/>
    <w:rsid w:val="002B5854"/>
    <w:rsid w:val="002C0BC8"/>
    <w:rsid w:val="002C4606"/>
    <w:rsid w:val="002C6491"/>
    <w:rsid w:val="002D71E8"/>
    <w:rsid w:val="002E2D27"/>
    <w:rsid w:val="002E6601"/>
    <w:rsid w:val="002E6D5A"/>
    <w:rsid w:val="002F7670"/>
    <w:rsid w:val="00305A6B"/>
    <w:rsid w:val="003168AE"/>
    <w:rsid w:val="00317FD8"/>
    <w:rsid w:val="0032643A"/>
    <w:rsid w:val="003316AB"/>
    <w:rsid w:val="003409C0"/>
    <w:rsid w:val="00345F77"/>
    <w:rsid w:val="00351593"/>
    <w:rsid w:val="003611F9"/>
    <w:rsid w:val="00374550"/>
    <w:rsid w:val="00384B8C"/>
    <w:rsid w:val="00387552"/>
    <w:rsid w:val="00393E89"/>
    <w:rsid w:val="003A0EA1"/>
    <w:rsid w:val="003A3828"/>
    <w:rsid w:val="003A47A7"/>
    <w:rsid w:val="003C7400"/>
    <w:rsid w:val="003D432A"/>
    <w:rsid w:val="003F203F"/>
    <w:rsid w:val="003F4088"/>
    <w:rsid w:val="003F680C"/>
    <w:rsid w:val="003F7663"/>
    <w:rsid w:val="00406AB0"/>
    <w:rsid w:val="00417CA8"/>
    <w:rsid w:val="00434DD1"/>
    <w:rsid w:val="00447AC1"/>
    <w:rsid w:val="004708ED"/>
    <w:rsid w:val="004736FB"/>
    <w:rsid w:val="00473D64"/>
    <w:rsid w:val="00497331"/>
    <w:rsid w:val="00497EE9"/>
    <w:rsid w:val="004B6188"/>
    <w:rsid w:val="004C4117"/>
    <w:rsid w:val="004C4C8B"/>
    <w:rsid w:val="004D7E64"/>
    <w:rsid w:val="004E1777"/>
    <w:rsid w:val="004E608D"/>
    <w:rsid w:val="004E7913"/>
    <w:rsid w:val="00516DE9"/>
    <w:rsid w:val="005265BA"/>
    <w:rsid w:val="00534C6F"/>
    <w:rsid w:val="00540248"/>
    <w:rsid w:val="0054040A"/>
    <w:rsid w:val="00563FC5"/>
    <w:rsid w:val="00583063"/>
    <w:rsid w:val="005920F8"/>
    <w:rsid w:val="005958D3"/>
    <w:rsid w:val="005A17AD"/>
    <w:rsid w:val="005A5D61"/>
    <w:rsid w:val="005A7CEF"/>
    <w:rsid w:val="005B372F"/>
    <w:rsid w:val="005B5B29"/>
    <w:rsid w:val="005C2057"/>
    <w:rsid w:val="005C2D79"/>
    <w:rsid w:val="005E0DE1"/>
    <w:rsid w:val="005E27AB"/>
    <w:rsid w:val="005F00C3"/>
    <w:rsid w:val="005F3DCB"/>
    <w:rsid w:val="005F7243"/>
    <w:rsid w:val="00614B7D"/>
    <w:rsid w:val="006346EE"/>
    <w:rsid w:val="00634EF6"/>
    <w:rsid w:val="00636CFE"/>
    <w:rsid w:val="00640C43"/>
    <w:rsid w:val="00662D03"/>
    <w:rsid w:val="00670C57"/>
    <w:rsid w:val="006802D8"/>
    <w:rsid w:val="00681070"/>
    <w:rsid w:val="006875FF"/>
    <w:rsid w:val="006921B1"/>
    <w:rsid w:val="00694A3E"/>
    <w:rsid w:val="006A4CEC"/>
    <w:rsid w:val="006B21F4"/>
    <w:rsid w:val="006C2BCA"/>
    <w:rsid w:val="006C36D4"/>
    <w:rsid w:val="006C6952"/>
    <w:rsid w:val="006E4F73"/>
    <w:rsid w:val="006E695E"/>
    <w:rsid w:val="00716072"/>
    <w:rsid w:val="0071798A"/>
    <w:rsid w:val="00723D89"/>
    <w:rsid w:val="00734E32"/>
    <w:rsid w:val="00740B35"/>
    <w:rsid w:val="00742D4D"/>
    <w:rsid w:val="007510EC"/>
    <w:rsid w:val="00754179"/>
    <w:rsid w:val="007600FC"/>
    <w:rsid w:val="007657B9"/>
    <w:rsid w:val="00765B2E"/>
    <w:rsid w:val="007665CE"/>
    <w:rsid w:val="00767440"/>
    <w:rsid w:val="007E5C6F"/>
    <w:rsid w:val="007F2EF8"/>
    <w:rsid w:val="007F52C7"/>
    <w:rsid w:val="008242AE"/>
    <w:rsid w:val="00844B16"/>
    <w:rsid w:val="00852491"/>
    <w:rsid w:val="008530FD"/>
    <w:rsid w:val="0086040F"/>
    <w:rsid w:val="00871C00"/>
    <w:rsid w:val="00880674"/>
    <w:rsid w:val="00882674"/>
    <w:rsid w:val="0088381F"/>
    <w:rsid w:val="008922D1"/>
    <w:rsid w:val="0089799A"/>
    <w:rsid w:val="008B5F13"/>
    <w:rsid w:val="008D54D5"/>
    <w:rsid w:val="008E08B2"/>
    <w:rsid w:val="00914A89"/>
    <w:rsid w:val="00914B0C"/>
    <w:rsid w:val="00945156"/>
    <w:rsid w:val="009465A5"/>
    <w:rsid w:val="00956527"/>
    <w:rsid w:val="00956D0D"/>
    <w:rsid w:val="00957DB7"/>
    <w:rsid w:val="009734FC"/>
    <w:rsid w:val="00990BB2"/>
    <w:rsid w:val="009B4F18"/>
    <w:rsid w:val="009C71C5"/>
    <w:rsid w:val="009C7FDF"/>
    <w:rsid w:val="009D2054"/>
    <w:rsid w:val="009D24E2"/>
    <w:rsid w:val="009D61E1"/>
    <w:rsid w:val="009D678E"/>
    <w:rsid w:val="009E0D30"/>
    <w:rsid w:val="009E42C5"/>
    <w:rsid w:val="009F0F21"/>
    <w:rsid w:val="00A025CB"/>
    <w:rsid w:val="00A06A15"/>
    <w:rsid w:val="00A11E37"/>
    <w:rsid w:val="00A12D9C"/>
    <w:rsid w:val="00A36BF6"/>
    <w:rsid w:val="00A370B9"/>
    <w:rsid w:val="00A467F8"/>
    <w:rsid w:val="00A46D68"/>
    <w:rsid w:val="00A476C6"/>
    <w:rsid w:val="00A534BF"/>
    <w:rsid w:val="00A62FE2"/>
    <w:rsid w:val="00AC4AF5"/>
    <w:rsid w:val="00AC7376"/>
    <w:rsid w:val="00AD52C7"/>
    <w:rsid w:val="00AE1367"/>
    <w:rsid w:val="00AF0A34"/>
    <w:rsid w:val="00AF5E16"/>
    <w:rsid w:val="00B01728"/>
    <w:rsid w:val="00B13663"/>
    <w:rsid w:val="00B206E7"/>
    <w:rsid w:val="00B20819"/>
    <w:rsid w:val="00B27365"/>
    <w:rsid w:val="00B31606"/>
    <w:rsid w:val="00B413C9"/>
    <w:rsid w:val="00B42964"/>
    <w:rsid w:val="00B46D6F"/>
    <w:rsid w:val="00B57FD5"/>
    <w:rsid w:val="00B610DF"/>
    <w:rsid w:val="00B616A6"/>
    <w:rsid w:val="00B64FDD"/>
    <w:rsid w:val="00B6673A"/>
    <w:rsid w:val="00B732DD"/>
    <w:rsid w:val="00B74A05"/>
    <w:rsid w:val="00B75580"/>
    <w:rsid w:val="00B76074"/>
    <w:rsid w:val="00B76B25"/>
    <w:rsid w:val="00B773B1"/>
    <w:rsid w:val="00B83566"/>
    <w:rsid w:val="00BB0464"/>
    <w:rsid w:val="00BB0A4D"/>
    <w:rsid w:val="00BB340B"/>
    <w:rsid w:val="00C02DFE"/>
    <w:rsid w:val="00C3160E"/>
    <w:rsid w:val="00C3473C"/>
    <w:rsid w:val="00C36703"/>
    <w:rsid w:val="00C372C7"/>
    <w:rsid w:val="00C51E1B"/>
    <w:rsid w:val="00C77753"/>
    <w:rsid w:val="00C80E75"/>
    <w:rsid w:val="00C8170B"/>
    <w:rsid w:val="00C86733"/>
    <w:rsid w:val="00C94BBE"/>
    <w:rsid w:val="00CB3D7B"/>
    <w:rsid w:val="00CB78EB"/>
    <w:rsid w:val="00CC1872"/>
    <w:rsid w:val="00CC5611"/>
    <w:rsid w:val="00CE0FFF"/>
    <w:rsid w:val="00CF4095"/>
    <w:rsid w:val="00CF4109"/>
    <w:rsid w:val="00D30668"/>
    <w:rsid w:val="00D55023"/>
    <w:rsid w:val="00D65D5B"/>
    <w:rsid w:val="00D67040"/>
    <w:rsid w:val="00D705EC"/>
    <w:rsid w:val="00D71322"/>
    <w:rsid w:val="00D76C4F"/>
    <w:rsid w:val="00D83022"/>
    <w:rsid w:val="00DA5D21"/>
    <w:rsid w:val="00DB03CF"/>
    <w:rsid w:val="00DD20CA"/>
    <w:rsid w:val="00DE6CF8"/>
    <w:rsid w:val="00E061B9"/>
    <w:rsid w:val="00E12092"/>
    <w:rsid w:val="00E14521"/>
    <w:rsid w:val="00E1790E"/>
    <w:rsid w:val="00E17BE9"/>
    <w:rsid w:val="00E215A4"/>
    <w:rsid w:val="00E24F07"/>
    <w:rsid w:val="00E30CB4"/>
    <w:rsid w:val="00E32D80"/>
    <w:rsid w:val="00E6654D"/>
    <w:rsid w:val="00E7193C"/>
    <w:rsid w:val="00E81429"/>
    <w:rsid w:val="00E83F63"/>
    <w:rsid w:val="00E9632B"/>
    <w:rsid w:val="00E96CEF"/>
    <w:rsid w:val="00EA17C7"/>
    <w:rsid w:val="00EA6DFD"/>
    <w:rsid w:val="00EB336E"/>
    <w:rsid w:val="00EB4EB2"/>
    <w:rsid w:val="00EC5982"/>
    <w:rsid w:val="00EC5A9A"/>
    <w:rsid w:val="00EC7001"/>
    <w:rsid w:val="00EE4D83"/>
    <w:rsid w:val="00EE5B11"/>
    <w:rsid w:val="00EF74F6"/>
    <w:rsid w:val="00F071DC"/>
    <w:rsid w:val="00F10595"/>
    <w:rsid w:val="00F14E15"/>
    <w:rsid w:val="00F14F6A"/>
    <w:rsid w:val="00F1761E"/>
    <w:rsid w:val="00F20856"/>
    <w:rsid w:val="00F20B1B"/>
    <w:rsid w:val="00F22433"/>
    <w:rsid w:val="00F23461"/>
    <w:rsid w:val="00F4028D"/>
    <w:rsid w:val="00F421B1"/>
    <w:rsid w:val="00F447C5"/>
    <w:rsid w:val="00F45CB9"/>
    <w:rsid w:val="00F603E6"/>
    <w:rsid w:val="00F82698"/>
    <w:rsid w:val="00F8575A"/>
    <w:rsid w:val="00F9379C"/>
    <w:rsid w:val="00F946A4"/>
    <w:rsid w:val="00FA5DF4"/>
    <w:rsid w:val="00FB0808"/>
    <w:rsid w:val="00FC121D"/>
    <w:rsid w:val="00FD77DD"/>
    <w:rsid w:val="00FE1583"/>
    <w:rsid w:val="00FF4BAD"/>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172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1322"/>
    <w:pPr>
      <w:spacing w:after="120" w:line="312" w:lineRule="auto"/>
      <w:jc w:val="both"/>
    </w:pPr>
    <w:rPr>
      <w:rFonts w:ascii="Arial" w:hAnsi="Arial"/>
      <w:sz w:val="22"/>
      <w:szCs w:val="24"/>
    </w:rPr>
  </w:style>
  <w:style w:type="paragraph" w:styleId="berschrift1">
    <w:name w:val="heading 1"/>
    <w:basedOn w:val="Standard"/>
    <w:next w:val="Standard"/>
    <w:qFormat/>
    <w:rsid w:val="00765B2E"/>
    <w:pPr>
      <w:keepNext/>
      <w:numPr>
        <w:numId w:val="1"/>
      </w:numPr>
      <w:pBdr>
        <w:bottom w:val="single" w:sz="8" w:space="1" w:color="E35114"/>
      </w:pBdr>
      <w:spacing w:before="720" w:after="480" w:line="240" w:lineRule="auto"/>
      <w:ind w:left="431" w:hanging="431"/>
      <w:contextualSpacing/>
      <w:outlineLvl w:val="0"/>
    </w:pPr>
    <w:rPr>
      <w:rFonts w:cs="Arial"/>
      <w:b/>
      <w:bCs/>
      <w:kern w:val="32"/>
      <w:sz w:val="32"/>
      <w:szCs w:val="32"/>
    </w:rPr>
  </w:style>
  <w:style w:type="paragraph" w:styleId="berschrift2">
    <w:name w:val="heading 2"/>
    <w:basedOn w:val="Standard"/>
    <w:next w:val="Standard"/>
    <w:qFormat/>
    <w:rsid w:val="00023378"/>
    <w:pPr>
      <w:keepNext/>
      <w:numPr>
        <w:ilvl w:val="1"/>
        <w:numId w:val="1"/>
      </w:numPr>
      <w:spacing w:before="720" w:after="240" w:line="240" w:lineRule="auto"/>
      <w:ind w:left="578" w:hanging="578"/>
      <w:outlineLvl w:val="1"/>
    </w:pPr>
    <w:rPr>
      <w:rFonts w:cs="Arial"/>
      <w:b/>
      <w:bCs/>
      <w:iCs/>
      <w:sz w:val="28"/>
      <w:szCs w:val="28"/>
    </w:rPr>
  </w:style>
  <w:style w:type="paragraph" w:styleId="berschrift3">
    <w:name w:val="heading 3"/>
    <w:basedOn w:val="Standard"/>
    <w:next w:val="Standard"/>
    <w:qFormat/>
    <w:rsid w:val="00023378"/>
    <w:pPr>
      <w:keepNext/>
      <w:numPr>
        <w:ilvl w:val="2"/>
        <w:numId w:val="1"/>
      </w:numPr>
      <w:spacing w:before="720" w:after="240"/>
      <w:outlineLvl w:val="2"/>
    </w:pPr>
    <w:rPr>
      <w:rFonts w:cs="Arial"/>
      <w:b/>
      <w:bCs/>
      <w:sz w:val="24"/>
      <w:szCs w:val="26"/>
    </w:rPr>
  </w:style>
  <w:style w:type="paragraph" w:styleId="berschrift4">
    <w:name w:val="heading 4"/>
    <w:basedOn w:val="Standard"/>
    <w:next w:val="Standard"/>
    <w:qFormat/>
    <w:rsid w:val="00023378"/>
    <w:pPr>
      <w:keepNext/>
      <w:spacing w:before="480" w:after="240"/>
      <w:outlineLvl w:val="3"/>
    </w:pPr>
    <w:rPr>
      <w:b/>
      <w:bCs/>
      <w:i/>
      <w:sz w:val="24"/>
      <w:szCs w:val="28"/>
    </w:rPr>
  </w:style>
  <w:style w:type="paragraph" w:styleId="berschrift5">
    <w:name w:val="heading 5"/>
    <w:basedOn w:val="Standard"/>
    <w:next w:val="Standard"/>
    <w:qFormat/>
    <w:rsid w:val="00023378"/>
    <w:pPr>
      <w:spacing w:before="480" w:after="240"/>
      <w:outlineLvl w:val="4"/>
    </w:pPr>
    <w:rPr>
      <w:b/>
      <w:bCs/>
      <w:iCs/>
      <w:szCs w:val="26"/>
    </w:rPr>
  </w:style>
  <w:style w:type="paragraph" w:styleId="berschrift6">
    <w:name w:val="heading 6"/>
    <w:basedOn w:val="Standard"/>
    <w:next w:val="Standard"/>
    <w:qFormat/>
    <w:rsid w:val="00023378"/>
    <w:pPr>
      <w:spacing w:before="480" w:after="240"/>
      <w:outlineLvl w:val="5"/>
    </w:pPr>
    <w:rPr>
      <w:b/>
      <w:bCs/>
      <w:i/>
      <w:szCs w:val="22"/>
    </w:rPr>
  </w:style>
  <w:style w:type="paragraph" w:styleId="berschrift7">
    <w:name w:val="heading 7"/>
    <w:basedOn w:val="Standard"/>
    <w:next w:val="Standard"/>
    <w:qFormat/>
    <w:rsid w:val="00023378"/>
    <w:pPr>
      <w:spacing w:before="480" w:after="240"/>
      <w:outlineLvl w:val="6"/>
    </w:pPr>
  </w:style>
  <w:style w:type="paragraph" w:styleId="berschrift8">
    <w:name w:val="heading 8"/>
    <w:basedOn w:val="Standard"/>
    <w:next w:val="Standard"/>
    <w:qFormat/>
    <w:rsid w:val="00023378"/>
    <w:pPr>
      <w:spacing w:before="480" w:after="240"/>
      <w:outlineLvl w:val="7"/>
    </w:pPr>
    <w:rPr>
      <w:i/>
      <w:iCs/>
    </w:rPr>
  </w:style>
  <w:style w:type="paragraph" w:styleId="berschrift9">
    <w:name w:val="heading 9"/>
    <w:basedOn w:val="Standard"/>
    <w:next w:val="Standard"/>
    <w:qFormat/>
    <w:rsid w:val="00023378"/>
    <w:pPr>
      <w:spacing w:before="480" w:after="240"/>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rsid w:val="003F203F"/>
    <w:pPr>
      <w:spacing w:before="600" w:after="360"/>
    </w:pPr>
    <w:rPr>
      <w:b/>
      <w:sz w:val="26"/>
    </w:rPr>
  </w:style>
  <w:style w:type="paragraph" w:customStyle="1" w:styleId="DatumdesBriefs">
    <w:name w:val="Datum des Briefs"/>
    <w:basedOn w:val="Standard"/>
    <w:rsid w:val="00E81429"/>
    <w:pPr>
      <w:spacing w:before="720"/>
      <w:jc w:val="right"/>
    </w:pPr>
    <w:rPr>
      <w:szCs w:val="20"/>
    </w:rPr>
  </w:style>
  <w:style w:type="paragraph" w:styleId="Kopfzeile">
    <w:name w:val="header"/>
    <w:basedOn w:val="Standard"/>
    <w:rsid w:val="001433C0"/>
    <w:pPr>
      <w:tabs>
        <w:tab w:val="center" w:pos="4703"/>
        <w:tab w:val="right" w:pos="9406"/>
      </w:tabs>
    </w:pPr>
    <w:rPr>
      <w:sz w:val="18"/>
    </w:rPr>
  </w:style>
  <w:style w:type="paragraph" w:styleId="Fuzeile">
    <w:name w:val="footer"/>
    <w:basedOn w:val="Standard"/>
    <w:rsid w:val="001433C0"/>
    <w:pPr>
      <w:tabs>
        <w:tab w:val="center" w:pos="4703"/>
        <w:tab w:val="right" w:pos="9406"/>
      </w:tabs>
    </w:pPr>
    <w:rPr>
      <w:sz w:val="18"/>
    </w:rPr>
  </w:style>
  <w:style w:type="paragraph" w:customStyle="1" w:styleId="Adresse">
    <w:name w:val="Adresse"/>
    <w:basedOn w:val="Standard"/>
    <w:rsid w:val="00E12092"/>
    <w:pPr>
      <w:spacing w:line="240" w:lineRule="auto"/>
    </w:pPr>
  </w:style>
  <w:style w:type="paragraph" w:styleId="Untertitel">
    <w:name w:val="Subtitle"/>
    <w:basedOn w:val="Standard"/>
    <w:qFormat/>
    <w:rsid w:val="00E6654D"/>
    <w:pPr>
      <w:spacing w:after="0"/>
      <w:jc w:val="left"/>
    </w:pPr>
    <w:rPr>
      <w:rFonts w:cs="Arial"/>
      <w:sz w:val="36"/>
      <w:szCs w:val="36"/>
    </w:rPr>
  </w:style>
  <w:style w:type="paragraph" w:styleId="Titel">
    <w:name w:val="Title"/>
    <w:basedOn w:val="Standard"/>
    <w:qFormat/>
    <w:rsid w:val="00E6654D"/>
    <w:pPr>
      <w:spacing w:before="1200" w:after="600"/>
      <w:jc w:val="left"/>
    </w:pPr>
    <w:rPr>
      <w:b/>
      <w:bCs/>
      <w:sz w:val="48"/>
      <w:szCs w:val="20"/>
    </w:rPr>
  </w:style>
  <w:style w:type="paragraph" w:styleId="Datum">
    <w:name w:val="Date"/>
    <w:basedOn w:val="Standard"/>
    <w:next w:val="Standard"/>
    <w:rsid w:val="00E6654D"/>
    <w:pPr>
      <w:jc w:val="left"/>
    </w:pPr>
    <w:rPr>
      <w:sz w:val="24"/>
    </w:rPr>
  </w:style>
  <w:style w:type="paragraph" w:customStyle="1" w:styleId="Projektteam">
    <w:name w:val="Projektteam"/>
    <w:basedOn w:val="Standard"/>
    <w:rsid w:val="00E6654D"/>
    <w:pPr>
      <w:jc w:val="left"/>
    </w:pPr>
    <w:rPr>
      <w:b/>
      <w:szCs w:val="22"/>
    </w:rPr>
  </w:style>
  <w:style w:type="paragraph" w:styleId="Verzeichnis1">
    <w:name w:val="toc 1"/>
    <w:basedOn w:val="Standard"/>
    <w:next w:val="Standard"/>
    <w:uiPriority w:val="39"/>
    <w:rsid w:val="002B5854"/>
    <w:pPr>
      <w:tabs>
        <w:tab w:val="left" w:pos="720"/>
        <w:tab w:val="right" w:leader="dot" w:pos="9062"/>
      </w:tabs>
      <w:spacing w:before="240" w:line="360" w:lineRule="auto"/>
      <w:ind w:left="720" w:hanging="720"/>
      <w:jc w:val="left"/>
    </w:pPr>
    <w:rPr>
      <w:b/>
      <w:noProof/>
    </w:rPr>
  </w:style>
  <w:style w:type="paragraph" w:styleId="Verzeichnis9">
    <w:name w:val="toc 9"/>
    <w:basedOn w:val="Standard"/>
    <w:next w:val="Standard"/>
    <w:rsid w:val="004736FB"/>
    <w:pPr>
      <w:ind w:left="1760"/>
    </w:pPr>
  </w:style>
  <w:style w:type="character" w:styleId="Hyperlink">
    <w:name w:val="Hyperlink"/>
    <w:uiPriority w:val="99"/>
    <w:rsid w:val="00C372C7"/>
    <w:rPr>
      <w:color w:val="E35100"/>
      <w:u w:val="single"/>
    </w:rPr>
  </w:style>
  <w:style w:type="paragraph" w:customStyle="1" w:styleId="berschriftInhaltsverzeichnis">
    <w:name w:val="Überschrift Inhaltsverzeichnis"/>
    <w:basedOn w:val="Standard"/>
    <w:rsid w:val="00AF5E16"/>
    <w:pPr>
      <w:pBdr>
        <w:bottom w:val="single" w:sz="8" w:space="1" w:color="E35114"/>
      </w:pBdr>
      <w:spacing w:after="480" w:line="240" w:lineRule="auto"/>
    </w:pPr>
    <w:rPr>
      <w:b/>
      <w:sz w:val="28"/>
      <w:szCs w:val="32"/>
    </w:rPr>
  </w:style>
  <w:style w:type="paragraph" w:styleId="Funotentext">
    <w:name w:val="footnote text"/>
    <w:basedOn w:val="Standard"/>
    <w:rsid w:val="00023378"/>
    <w:pPr>
      <w:spacing w:line="240" w:lineRule="auto"/>
    </w:pPr>
    <w:rPr>
      <w:sz w:val="18"/>
      <w:szCs w:val="20"/>
      <w:lang w:val="de-DE" w:eastAsia="de-DE"/>
    </w:rPr>
  </w:style>
  <w:style w:type="character" w:styleId="Funotenzeichen">
    <w:name w:val="footnote reference"/>
    <w:rsid w:val="009D678E"/>
    <w:rPr>
      <w:vertAlign w:val="superscript"/>
    </w:rPr>
  </w:style>
  <w:style w:type="paragraph" w:customStyle="1" w:styleId="Funote">
    <w:name w:val="Fußnote"/>
    <w:basedOn w:val="Funotentext"/>
    <w:next w:val="Funotentext"/>
    <w:rsid w:val="00F447C5"/>
    <w:rPr>
      <w:rFonts w:cs="Arial"/>
      <w:szCs w:val="18"/>
    </w:rPr>
  </w:style>
  <w:style w:type="paragraph" w:styleId="Beschriftung">
    <w:name w:val="caption"/>
    <w:basedOn w:val="Standard"/>
    <w:next w:val="Standard"/>
    <w:qFormat/>
    <w:rsid w:val="00F071DC"/>
    <w:pPr>
      <w:keepNext/>
      <w:spacing w:before="120" w:after="360" w:line="360" w:lineRule="auto"/>
    </w:pPr>
    <w:rPr>
      <w:bCs/>
      <w:sz w:val="18"/>
      <w:szCs w:val="20"/>
    </w:rPr>
  </w:style>
  <w:style w:type="paragraph" w:styleId="Abbildungsverzeichnis">
    <w:name w:val="table of figures"/>
    <w:basedOn w:val="Standard"/>
    <w:next w:val="Standard"/>
    <w:rsid w:val="0017376B"/>
  </w:style>
  <w:style w:type="paragraph" w:styleId="Dokumentstruktur">
    <w:name w:val="Document Map"/>
    <w:basedOn w:val="Standard"/>
    <w:rsid w:val="0017376B"/>
    <w:pPr>
      <w:shd w:val="clear" w:color="auto" w:fill="000080"/>
    </w:pPr>
    <w:rPr>
      <w:rFonts w:ascii="Tahoma" w:hAnsi="Tahoma" w:cs="Tahoma"/>
      <w:sz w:val="20"/>
      <w:szCs w:val="20"/>
    </w:rPr>
  </w:style>
  <w:style w:type="paragraph" w:styleId="Endnotentext">
    <w:name w:val="endnote text"/>
    <w:basedOn w:val="Standard"/>
    <w:rsid w:val="0017376B"/>
    <w:rPr>
      <w:sz w:val="20"/>
      <w:szCs w:val="20"/>
    </w:rPr>
  </w:style>
  <w:style w:type="character" w:styleId="Endnotenzeichen">
    <w:name w:val="endnote reference"/>
    <w:rsid w:val="0017376B"/>
    <w:rPr>
      <w:vertAlign w:val="superscript"/>
    </w:rPr>
  </w:style>
  <w:style w:type="paragraph" w:styleId="Index1">
    <w:name w:val="index 1"/>
    <w:basedOn w:val="Standard"/>
    <w:next w:val="Standard"/>
    <w:autoRedefine/>
    <w:rsid w:val="0017376B"/>
    <w:pPr>
      <w:ind w:left="220" w:hanging="220"/>
    </w:pPr>
  </w:style>
  <w:style w:type="paragraph" w:styleId="Index2">
    <w:name w:val="index 2"/>
    <w:basedOn w:val="Standard"/>
    <w:next w:val="Standard"/>
    <w:autoRedefine/>
    <w:rsid w:val="0017376B"/>
    <w:pPr>
      <w:ind w:left="440" w:hanging="220"/>
    </w:pPr>
  </w:style>
  <w:style w:type="paragraph" w:styleId="Index3">
    <w:name w:val="index 3"/>
    <w:basedOn w:val="Standard"/>
    <w:next w:val="Standard"/>
    <w:autoRedefine/>
    <w:rsid w:val="0017376B"/>
    <w:pPr>
      <w:ind w:left="660" w:hanging="220"/>
    </w:pPr>
  </w:style>
  <w:style w:type="paragraph" w:styleId="Index4">
    <w:name w:val="index 4"/>
    <w:basedOn w:val="Standard"/>
    <w:next w:val="Standard"/>
    <w:autoRedefine/>
    <w:rsid w:val="0017376B"/>
    <w:pPr>
      <w:ind w:left="880" w:hanging="220"/>
    </w:pPr>
  </w:style>
  <w:style w:type="paragraph" w:styleId="Index5">
    <w:name w:val="index 5"/>
    <w:basedOn w:val="Standard"/>
    <w:next w:val="Standard"/>
    <w:autoRedefine/>
    <w:rsid w:val="0017376B"/>
    <w:pPr>
      <w:ind w:left="1100" w:hanging="220"/>
    </w:pPr>
  </w:style>
  <w:style w:type="paragraph" w:styleId="Index6">
    <w:name w:val="index 6"/>
    <w:basedOn w:val="Standard"/>
    <w:next w:val="Standard"/>
    <w:autoRedefine/>
    <w:rsid w:val="0017376B"/>
    <w:pPr>
      <w:ind w:left="1320" w:hanging="220"/>
    </w:pPr>
  </w:style>
  <w:style w:type="paragraph" w:styleId="Index7">
    <w:name w:val="index 7"/>
    <w:basedOn w:val="Standard"/>
    <w:next w:val="Standard"/>
    <w:autoRedefine/>
    <w:rsid w:val="0017376B"/>
    <w:pPr>
      <w:ind w:left="1540" w:hanging="220"/>
    </w:pPr>
  </w:style>
  <w:style w:type="paragraph" w:styleId="Index8">
    <w:name w:val="index 8"/>
    <w:basedOn w:val="Standard"/>
    <w:next w:val="Standard"/>
    <w:autoRedefine/>
    <w:rsid w:val="0017376B"/>
    <w:pPr>
      <w:ind w:left="1760" w:hanging="220"/>
    </w:pPr>
  </w:style>
  <w:style w:type="paragraph" w:styleId="Index9">
    <w:name w:val="index 9"/>
    <w:basedOn w:val="Standard"/>
    <w:next w:val="Standard"/>
    <w:autoRedefine/>
    <w:rsid w:val="0017376B"/>
    <w:pPr>
      <w:ind w:left="1980" w:hanging="220"/>
    </w:pPr>
  </w:style>
  <w:style w:type="paragraph" w:styleId="Indexberschrift">
    <w:name w:val="index heading"/>
    <w:basedOn w:val="Standard"/>
    <w:next w:val="Index1"/>
    <w:rsid w:val="0017376B"/>
    <w:rPr>
      <w:rFonts w:cs="Arial"/>
      <w:b/>
      <w:bCs/>
    </w:rPr>
  </w:style>
  <w:style w:type="paragraph" w:styleId="Kommentartext">
    <w:name w:val="annotation text"/>
    <w:basedOn w:val="Standard"/>
    <w:rsid w:val="0017376B"/>
    <w:rPr>
      <w:sz w:val="20"/>
      <w:szCs w:val="20"/>
    </w:rPr>
  </w:style>
  <w:style w:type="paragraph" w:styleId="Kommentarthema">
    <w:name w:val="annotation subject"/>
    <w:basedOn w:val="Kommentartext"/>
    <w:next w:val="Kommentartext"/>
    <w:rsid w:val="0017376B"/>
    <w:rPr>
      <w:b/>
      <w:bCs/>
    </w:rPr>
  </w:style>
  <w:style w:type="character" w:styleId="Kommentarzeichen">
    <w:name w:val="annotation reference"/>
    <w:rsid w:val="0017376B"/>
    <w:rPr>
      <w:sz w:val="16"/>
      <w:szCs w:val="16"/>
    </w:rPr>
  </w:style>
  <w:style w:type="paragraph" w:styleId="Makrotext">
    <w:name w:val="macro"/>
    <w:rsid w:val="0017376B"/>
    <w:pPr>
      <w:tabs>
        <w:tab w:val="left" w:pos="480"/>
        <w:tab w:val="left" w:pos="960"/>
        <w:tab w:val="left" w:pos="1440"/>
        <w:tab w:val="left" w:pos="1920"/>
        <w:tab w:val="left" w:pos="2400"/>
        <w:tab w:val="left" w:pos="2880"/>
        <w:tab w:val="left" w:pos="3360"/>
        <w:tab w:val="left" w:pos="3840"/>
        <w:tab w:val="left" w:pos="4320"/>
      </w:tabs>
      <w:spacing w:after="120" w:line="312" w:lineRule="auto"/>
    </w:pPr>
    <w:rPr>
      <w:rFonts w:ascii="Courier New" w:hAnsi="Courier New" w:cs="Courier New"/>
    </w:rPr>
  </w:style>
  <w:style w:type="paragraph" w:styleId="Rechtsgrundlagenverzeichnis">
    <w:name w:val="table of authorities"/>
    <w:basedOn w:val="Standard"/>
    <w:next w:val="Standard"/>
    <w:rsid w:val="0017376B"/>
    <w:pPr>
      <w:ind w:left="220" w:hanging="220"/>
    </w:pPr>
  </w:style>
  <w:style w:type="paragraph" w:styleId="RGV-berschrift">
    <w:name w:val="toa heading"/>
    <w:basedOn w:val="Standard"/>
    <w:next w:val="Standard"/>
    <w:rsid w:val="0017376B"/>
    <w:pPr>
      <w:spacing w:before="120"/>
    </w:pPr>
    <w:rPr>
      <w:rFonts w:cs="Arial"/>
      <w:b/>
      <w:bCs/>
      <w:sz w:val="24"/>
    </w:rPr>
  </w:style>
  <w:style w:type="paragraph" w:styleId="Sprechblasentext">
    <w:name w:val="Balloon Text"/>
    <w:basedOn w:val="Standard"/>
    <w:rsid w:val="0017376B"/>
    <w:rPr>
      <w:rFonts w:ascii="Tahoma" w:hAnsi="Tahoma" w:cs="Tahoma"/>
      <w:sz w:val="16"/>
      <w:szCs w:val="16"/>
    </w:rPr>
  </w:style>
  <w:style w:type="paragraph" w:styleId="Verzeichnis2">
    <w:name w:val="toc 2"/>
    <w:basedOn w:val="Standard"/>
    <w:next w:val="Standard"/>
    <w:uiPriority w:val="39"/>
    <w:rsid w:val="002B5854"/>
    <w:pPr>
      <w:tabs>
        <w:tab w:val="left" w:pos="720"/>
        <w:tab w:val="right" w:leader="dot" w:pos="9062"/>
      </w:tabs>
      <w:spacing w:after="0" w:line="360" w:lineRule="auto"/>
      <w:ind w:left="720" w:hanging="720"/>
      <w:jc w:val="left"/>
    </w:pPr>
    <w:rPr>
      <w:noProof/>
    </w:rPr>
  </w:style>
  <w:style w:type="paragraph" w:styleId="Verzeichnis3">
    <w:name w:val="toc 3"/>
    <w:basedOn w:val="Standard"/>
    <w:next w:val="Standard"/>
    <w:uiPriority w:val="39"/>
    <w:rsid w:val="001F13B3"/>
    <w:pPr>
      <w:tabs>
        <w:tab w:val="left" w:pos="720"/>
        <w:tab w:val="right" w:leader="dot" w:pos="9062"/>
      </w:tabs>
      <w:spacing w:line="240" w:lineRule="auto"/>
      <w:ind w:left="1440" w:hanging="720"/>
      <w:jc w:val="left"/>
    </w:pPr>
    <w:rPr>
      <w:noProof/>
    </w:rPr>
  </w:style>
  <w:style w:type="paragraph" w:styleId="Verzeichnis4">
    <w:name w:val="toc 4"/>
    <w:basedOn w:val="Standard"/>
    <w:next w:val="Standard"/>
    <w:rsid w:val="00AF5E16"/>
    <w:pPr>
      <w:tabs>
        <w:tab w:val="right" w:leader="dot" w:pos="9062"/>
      </w:tabs>
      <w:ind w:left="720"/>
    </w:pPr>
    <w:rPr>
      <w:noProof/>
    </w:rPr>
  </w:style>
  <w:style w:type="paragraph" w:styleId="Verzeichnis5">
    <w:name w:val="toc 5"/>
    <w:basedOn w:val="Standard"/>
    <w:next w:val="Standard"/>
    <w:rsid w:val="00AF5E16"/>
    <w:pPr>
      <w:tabs>
        <w:tab w:val="right" w:leader="dot" w:pos="9062"/>
      </w:tabs>
      <w:ind w:left="720"/>
    </w:pPr>
    <w:rPr>
      <w:noProof/>
    </w:rPr>
  </w:style>
  <w:style w:type="paragraph" w:styleId="Verzeichnis6">
    <w:name w:val="toc 6"/>
    <w:basedOn w:val="Standard"/>
    <w:next w:val="Standard"/>
    <w:rsid w:val="00AF5E16"/>
    <w:pPr>
      <w:tabs>
        <w:tab w:val="right" w:leader="dot" w:pos="9062"/>
      </w:tabs>
      <w:ind w:left="720"/>
    </w:pPr>
    <w:rPr>
      <w:noProof/>
    </w:rPr>
  </w:style>
  <w:style w:type="paragraph" w:styleId="Verzeichnis7">
    <w:name w:val="toc 7"/>
    <w:basedOn w:val="Standard"/>
    <w:next w:val="Standard"/>
    <w:rsid w:val="0017376B"/>
    <w:pPr>
      <w:ind w:left="1320"/>
    </w:pPr>
  </w:style>
  <w:style w:type="paragraph" w:styleId="Verzeichnis8">
    <w:name w:val="toc 8"/>
    <w:basedOn w:val="Standard"/>
    <w:next w:val="Standard"/>
    <w:rsid w:val="0017376B"/>
    <w:pPr>
      <w:ind w:left="1540"/>
    </w:pPr>
  </w:style>
  <w:style w:type="paragraph" w:customStyle="1" w:styleId="Tabelle">
    <w:name w:val="Tabelle"/>
    <w:basedOn w:val="Standard"/>
    <w:semiHidden/>
    <w:rsid w:val="00C02DFE"/>
    <w:pPr>
      <w:autoSpaceDE w:val="0"/>
      <w:autoSpaceDN w:val="0"/>
      <w:adjustRightInd w:val="0"/>
      <w:spacing w:before="60" w:after="60" w:line="240" w:lineRule="auto"/>
    </w:pPr>
    <w:rPr>
      <w:rFonts w:ascii="Times New Roman" w:hAnsi="Times New Roman" w:cs="Arial"/>
      <w:sz w:val="20"/>
      <w:szCs w:val="22"/>
      <w:lang w:eastAsia="de-DE"/>
    </w:rPr>
  </w:style>
  <w:style w:type="table" w:styleId="TabelleEinfach1">
    <w:name w:val="Table Simple 1"/>
    <w:basedOn w:val="NormaleTabelle"/>
    <w:semiHidden/>
    <w:rsid w:val="00C02DFE"/>
    <w:pPr>
      <w:spacing w:after="120" w:line="312"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Farbig1">
    <w:name w:val="Table Colorful 1"/>
    <w:basedOn w:val="NormaleTabelle"/>
    <w:semiHidden/>
    <w:rsid w:val="00C02DFE"/>
    <w:pPr>
      <w:spacing w:after="120" w:line="312"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02DFE"/>
    <w:pPr>
      <w:spacing w:after="120" w:line="312"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3D-Effekt3">
    <w:name w:val="Table 3D effects 3"/>
    <w:basedOn w:val="NormaleTabelle"/>
    <w:semiHidden/>
    <w:rsid w:val="00C02DFE"/>
    <w:pPr>
      <w:spacing w:after="120" w:line="312"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02DFE"/>
    <w:pPr>
      <w:spacing w:after="120" w:line="312"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7">
    <w:name w:val="Tabelle e7"/>
    <w:basedOn w:val="NormaleTabelle"/>
    <w:rsid w:val="00681070"/>
    <w:pPr>
      <w:jc w:val="right"/>
    </w:pPr>
    <w:rPr>
      <w:rFonts w:ascii="Arial" w:hAnsi="Arial"/>
    </w:rPr>
    <w:tblPr>
      <w:tblStyleRowBandSize w:val="1"/>
      <w:tblStyleColBandSize w:val="1"/>
      <w:tblBorders>
        <w:top w:val="single" w:sz="2" w:space="0" w:color="808080"/>
        <w:bottom w:val="single" w:sz="2" w:space="0" w:color="808080"/>
        <w:insideH w:val="single" w:sz="2" w:space="0" w:color="808080"/>
      </w:tblBorders>
    </w:tblPr>
    <w:tcPr>
      <w:shd w:val="clear" w:color="auto" w:fill="auto"/>
    </w:tcPr>
    <w:tblStylePr w:type="firstRow">
      <w:pPr>
        <w:wordWrap/>
        <w:spacing w:beforeLines="0"/>
      </w:pPr>
      <w:rPr>
        <w:rFonts w:ascii="Arial" w:hAnsi="Arial"/>
        <w:b/>
        <w:color w:val="auto"/>
        <w:sz w:val="22"/>
      </w:rPr>
      <w:tblPr/>
      <w:tcPr>
        <w:tcBorders>
          <w:top w:val="single" w:sz="2" w:space="0" w:color="E35114"/>
          <w:left w:val="nil"/>
          <w:bottom w:val="single" w:sz="2" w:space="0" w:color="E35114"/>
          <w:right w:val="nil"/>
          <w:insideH w:val="nil"/>
          <w:insideV w:val="nil"/>
          <w:tl2br w:val="nil"/>
          <w:tr2bl w:val="nil"/>
        </w:tcBorders>
        <w:shd w:val="clear" w:color="auto" w:fill="auto"/>
      </w:tcPr>
    </w:tblStylePr>
    <w:tblStylePr w:type="lastRow">
      <w:rPr>
        <w:b w:val="0"/>
      </w:rPr>
      <w:tblPr/>
      <w:tcPr>
        <w:tcBorders>
          <w:top w:val="single" w:sz="2" w:space="0" w:color="808080"/>
          <w:left w:val="nil"/>
          <w:bottom w:val="single" w:sz="2" w:space="0" w:color="808080"/>
          <w:right w:val="nil"/>
          <w:insideH w:val="single" w:sz="2" w:space="0" w:color="808080"/>
          <w:insideV w:val="nil"/>
          <w:tl2br w:val="nil"/>
          <w:tr2bl w:val="nil"/>
        </w:tcBorders>
        <w:shd w:val="clear" w:color="auto" w:fill="FFFFFF"/>
      </w:tcPr>
    </w:tblStylePr>
    <w:tblStylePr w:type="firstCol">
      <w:pPr>
        <w:wordWrap/>
        <w:jc w:val="left"/>
      </w:pPr>
      <w:rPr>
        <w:b w:val="0"/>
      </w:rPr>
      <w:tblPr/>
      <w:tcPr>
        <w:tcBorders>
          <w:top w:val="single" w:sz="2" w:space="0" w:color="808080"/>
          <w:left w:val="nil"/>
          <w:bottom w:val="single" w:sz="2" w:space="0" w:color="808080"/>
          <w:right w:val="nil"/>
          <w:insideH w:val="single" w:sz="2" w:space="0" w:color="808080"/>
          <w:insideV w:val="nil"/>
          <w:tl2br w:val="nil"/>
          <w:tr2bl w:val="nil"/>
        </w:tcBorders>
        <w:shd w:val="clear" w:color="auto" w:fill="FFFFFF"/>
      </w:tcPr>
    </w:tblStylePr>
    <w:tblStylePr w:type="lastCol">
      <w:rPr>
        <w:b w:val="0"/>
      </w:rPr>
      <w:tblPr/>
      <w:tcPr>
        <w:tcBorders>
          <w:top w:val="single" w:sz="2" w:space="0" w:color="808080"/>
          <w:left w:val="nil"/>
          <w:bottom w:val="single" w:sz="2" w:space="0" w:color="808080"/>
          <w:right w:val="nil"/>
          <w:insideH w:val="single" w:sz="2" w:space="0" w:color="808080"/>
          <w:insideV w:val="nil"/>
          <w:tl2br w:val="nil"/>
          <w:tr2bl w:val="nil"/>
        </w:tcBorders>
        <w:shd w:val="clear" w:color="auto" w:fill="auto"/>
      </w:tcPr>
    </w:tblStylePr>
    <w:tblStylePr w:type="band1Vert">
      <w:tblPr/>
      <w:tcPr>
        <w:tcBorders>
          <w:top w:val="single" w:sz="2" w:space="0" w:color="808080"/>
          <w:left w:val="nil"/>
          <w:bottom w:val="single" w:sz="2" w:space="0" w:color="808080"/>
          <w:right w:val="nil"/>
          <w:insideH w:val="nil"/>
          <w:insideV w:val="nil"/>
          <w:tl2br w:val="nil"/>
          <w:tr2bl w:val="nil"/>
        </w:tcBorders>
        <w:shd w:val="clear" w:color="auto" w:fill="auto"/>
      </w:tcPr>
    </w:tblStylePr>
    <w:tblStylePr w:type="band2Vert">
      <w:tblPr/>
      <w:tcPr>
        <w:tcBorders>
          <w:top w:val="single" w:sz="2" w:space="0" w:color="808080"/>
          <w:left w:val="nil"/>
          <w:bottom w:val="single" w:sz="2" w:space="0" w:color="808080"/>
          <w:right w:val="nil"/>
          <w:insideH w:val="nil"/>
          <w:insideV w:val="nil"/>
          <w:tl2br w:val="nil"/>
          <w:tr2bl w:val="nil"/>
        </w:tcBorders>
        <w:shd w:val="clear" w:color="auto" w:fill="auto"/>
      </w:tcPr>
    </w:tblStylePr>
    <w:tblStylePr w:type="band1Horz">
      <w:tblPr/>
      <w:tcPr>
        <w:tcBorders>
          <w:top w:val="single" w:sz="2" w:space="0" w:color="808080"/>
          <w:left w:val="nil"/>
          <w:bottom w:val="single" w:sz="2" w:space="0" w:color="808080"/>
          <w:right w:val="nil"/>
          <w:insideH w:val="single" w:sz="2" w:space="0" w:color="808080"/>
          <w:insideV w:val="nil"/>
          <w:tl2br w:val="nil"/>
          <w:tr2bl w:val="nil"/>
        </w:tcBorders>
        <w:shd w:val="clear" w:color="auto" w:fill="auto"/>
      </w:tcPr>
    </w:tblStylePr>
    <w:tblStylePr w:type="band2Horz">
      <w:tblPr/>
      <w:tcPr>
        <w:tcBorders>
          <w:top w:val="single" w:sz="2" w:space="0" w:color="808080"/>
          <w:left w:val="nil"/>
          <w:bottom w:val="single" w:sz="2" w:space="0" w:color="808080"/>
          <w:right w:val="nil"/>
          <w:insideH w:val="single" w:sz="2" w:space="0" w:color="808080"/>
          <w:insideV w:val="nil"/>
          <w:tl2br w:val="nil"/>
          <w:tr2bl w:val="nil"/>
        </w:tcBorders>
        <w:shd w:val="clear" w:color="auto" w:fill="auto"/>
      </w:tcPr>
    </w:tblStylePr>
    <w:tblStylePr w:type="neCell">
      <w:tblPr/>
      <w:tcPr>
        <w:tcBorders>
          <w:top w:val="single" w:sz="2" w:space="0" w:color="E35114"/>
          <w:left w:val="nil"/>
          <w:bottom w:val="single" w:sz="2" w:space="0" w:color="E35114"/>
          <w:right w:val="nil"/>
          <w:insideH w:val="single" w:sz="2" w:space="0" w:color="E35114"/>
          <w:insideV w:val="nil"/>
          <w:tl2br w:val="nil"/>
          <w:tr2bl w:val="nil"/>
        </w:tcBorders>
        <w:shd w:val="clear" w:color="auto" w:fill="auto"/>
      </w:tcPr>
    </w:tblStylePr>
    <w:tblStylePr w:type="nwCell">
      <w:pPr>
        <w:jc w:val="left"/>
      </w:pPr>
      <w:tblPr/>
      <w:tcPr>
        <w:tcBorders>
          <w:top w:val="single" w:sz="2" w:space="0" w:color="E35114"/>
          <w:left w:val="nil"/>
          <w:bottom w:val="single" w:sz="2" w:space="0" w:color="E35114"/>
          <w:right w:val="nil"/>
          <w:insideH w:val="single" w:sz="2" w:space="0" w:color="E35114"/>
          <w:insideV w:val="nil"/>
          <w:tl2br w:val="nil"/>
          <w:tr2bl w:val="nil"/>
        </w:tcBorders>
      </w:tcPr>
    </w:tblStylePr>
    <w:tblStylePr w:type="seCell">
      <w:tblPr/>
      <w:tcPr>
        <w:tcBorders>
          <w:top w:val="single" w:sz="2" w:space="0" w:color="808080"/>
          <w:left w:val="nil"/>
          <w:bottom w:val="single" w:sz="2" w:space="0" w:color="808080"/>
          <w:right w:val="nil"/>
          <w:insideH w:val="nil"/>
          <w:insideV w:val="nil"/>
          <w:tl2br w:val="nil"/>
          <w:tr2bl w:val="nil"/>
        </w:tcBorders>
        <w:shd w:val="clear" w:color="auto" w:fill="auto"/>
      </w:tcPr>
    </w:tblStylePr>
    <w:tblStylePr w:type="swCell">
      <w:pPr>
        <w:jc w:val="left"/>
      </w:pPr>
      <w:tblPr/>
      <w:tcPr>
        <w:tcBorders>
          <w:top w:val="single" w:sz="2" w:space="0" w:color="808080"/>
          <w:left w:val="nil"/>
          <w:bottom w:val="single" w:sz="2" w:space="0" w:color="808080"/>
          <w:right w:val="nil"/>
          <w:insideH w:val="single" w:sz="2" w:space="0" w:color="808080"/>
          <w:insideV w:val="nil"/>
          <w:tl2br w:val="nil"/>
          <w:tr2bl w:val="nil"/>
        </w:tcBorders>
      </w:tcPr>
    </w:tblStylePr>
  </w:style>
  <w:style w:type="paragraph" w:customStyle="1" w:styleId="TabelleText">
    <w:name w:val="Tabelle Text"/>
    <w:basedOn w:val="Standard"/>
    <w:rsid w:val="00F071DC"/>
    <w:pPr>
      <w:keepNext/>
      <w:spacing w:before="60" w:after="20" w:line="240" w:lineRule="auto"/>
      <w:jc w:val="left"/>
    </w:pPr>
    <w:rPr>
      <w:sz w:val="20"/>
      <w:szCs w:val="22"/>
    </w:rPr>
  </w:style>
  <w:style w:type="numbering" w:customStyle="1" w:styleId="Aufzhlung">
    <w:name w:val="Aufzählung"/>
    <w:basedOn w:val="KeineListe"/>
    <w:rsid w:val="0011675C"/>
    <w:pPr>
      <w:numPr>
        <w:numId w:val="2"/>
      </w:numPr>
    </w:pPr>
  </w:style>
  <w:style w:type="table" w:styleId="Tabellenraster">
    <w:name w:val="Table Grid"/>
    <w:basedOn w:val="NormaleTabelle"/>
    <w:rsid w:val="00C372C7"/>
    <w:pPr>
      <w:spacing w:after="12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Funktion">
    <w:name w:val="Dokument Funktion"/>
    <w:basedOn w:val="Standard"/>
    <w:next w:val="Standard"/>
    <w:rsid w:val="00E6654D"/>
    <w:pPr>
      <w:spacing w:after="1200"/>
      <w:jc w:val="left"/>
    </w:pPr>
    <w:rPr>
      <w:b/>
      <w:sz w:val="32"/>
      <w:szCs w:val="32"/>
    </w:rPr>
  </w:style>
  <w:style w:type="paragraph" w:customStyle="1" w:styleId="TitelLinie">
    <w:name w:val="Titel Linie"/>
    <w:basedOn w:val="Standard"/>
    <w:rsid w:val="001C677A"/>
    <w:pPr>
      <w:pBdr>
        <w:top w:val="single" w:sz="8" w:space="1" w:color="E35114"/>
      </w:pBdr>
      <w:spacing w:after="1320"/>
    </w:pPr>
  </w:style>
  <w:style w:type="paragraph" w:styleId="Listenabsatz">
    <w:name w:val="List Paragraph"/>
    <w:basedOn w:val="Standard"/>
    <w:uiPriority w:val="34"/>
    <w:qFormat/>
    <w:rsid w:val="00583063"/>
    <w:pPr>
      <w:ind w:left="720"/>
      <w:contextualSpacing/>
    </w:pPr>
  </w:style>
  <w:style w:type="paragraph" w:styleId="berarbeitung">
    <w:name w:val="Revision"/>
    <w:hidden/>
    <w:uiPriority w:val="99"/>
    <w:semiHidden/>
    <w:rsid w:val="00AD52C7"/>
    <w:rPr>
      <w:rFonts w:ascii="Arial" w:hAnsi="Arial"/>
      <w:sz w:val="22"/>
      <w:szCs w:val="24"/>
    </w:rPr>
  </w:style>
  <w:style w:type="paragraph" w:customStyle="1" w:styleId="AufzhlungListe">
    <w:name w:val="Aufzählung_Liste"/>
    <w:basedOn w:val="Standard"/>
    <w:link w:val="AufzhlungListeZchn"/>
    <w:qFormat/>
    <w:rsid w:val="00A62FE2"/>
    <w:pPr>
      <w:tabs>
        <w:tab w:val="num" w:pos="907"/>
      </w:tabs>
      <w:ind w:left="907" w:hanging="340"/>
    </w:pPr>
  </w:style>
  <w:style w:type="character" w:customStyle="1" w:styleId="AufzhlungListeZchn">
    <w:name w:val="Aufzählung_Liste Zchn"/>
    <w:basedOn w:val="Absatz-Standardschriftart"/>
    <w:link w:val="AufzhlungListe"/>
    <w:rsid w:val="00A62FE2"/>
    <w:rPr>
      <w:rFonts w:ascii="Arial" w:hAnsi="Arial"/>
      <w:sz w:val="22"/>
      <w:szCs w:val="24"/>
    </w:rPr>
  </w:style>
  <w:style w:type="character" w:styleId="Hervorhebung">
    <w:name w:val="Emphasis"/>
    <w:basedOn w:val="Absatz-Standardschriftart"/>
    <w:qFormat/>
    <w:rsid w:val="00A62F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1322"/>
    <w:pPr>
      <w:spacing w:after="120" w:line="312" w:lineRule="auto"/>
      <w:jc w:val="both"/>
    </w:pPr>
    <w:rPr>
      <w:rFonts w:ascii="Arial" w:hAnsi="Arial"/>
      <w:sz w:val="22"/>
      <w:szCs w:val="24"/>
    </w:rPr>
  </w:style>
  <w:style w:type="paragraph" w:styleId="berschrift1">
    <w:name w:val="heading 1"/>
    <w:basedOn w:val="Standard"/>
    <w:next w:val="Standard"/>
    <w:qFormat/>
    <w:rsid w:val="00765B2E"/>
    <w:pPr>
      <w:keepNext/>
      <w:numPr>
        <w:numId w:val="1"/>
      </w:numPr>
      <w:pBdr>
        <w:bottom w:val="single" w:sz="8" w:space="1" w:color="E35114"/>
      </w:pBdr>
      <w:spacing w:before="720" w:after="480" w:line="240" w:lineRule="auto"/>
      <w:ind w:left="431" w:hanging="431"/>
      <w:contextualSpacing/>
      <w:outlineLvl w:val="0"/>
    </w:pPr>
    <w:rPr>
      <w:rFonts w:cs="Arial"/>
      <w:b/>
      <w:bCs/>
      <w:kern w:val="32"/>
      <w:sz w:val="32"/>
      <w:szCs w:val="32"/>
    </w:rPr>
  </w:style>
  <w:style w:type="paragraph" w:styleId="berschrift2">
    <w:name w:val="heading 2"/>
    <w:basedOn w:val="Standard"/>
    <w:next w:val="Standard"/>
    <w:qFormat/>
    <w:rsid w:val="00023378"/>
    <w:pPr>
      <w:keepNext/>
      <w:numPr>
        <w:ilvl w:val="1"/>
        <w:numId w:val="1"/>
      </w:numPr>
      <w:spacing w:before="720" w:after="240" w:line="240" w:lineRule="auto"/>
      <w:ind w:left="578" w:hanging="578"/>
      <w:outlineLvl w:val="1"/>
    </w:pPr>
    <w:rPr>
      <w:rFonts w:cs="Arial"/>
      <w:b/>
      <w:bCs/>
      <w:iCs/>
      <w:sz w:val="28"/>
      <w:szCs w:val="28"/>
    </w:rPr>
  </w:style>
  <w:style w:type="paragraph" w:styleId="berschrift3">
    <w:name w:val="heading 3"/>
    <w:basedOn w:val="Standard"/>
    <w:next w:val="Standard"/>
    <w:qFormat/>
    <w:rsid w:val="00023378"/>
    <w:pPr>
      <w:keepNext/>
      <w:numPr>
        <w:ilvl w:val="2"/>
        <w:numId w:val="1"/>
      </w:numPr>
      <w:spacing w:before="720" w:after="240"/>
      <w:outlineLvl w:val="2"/>
    </w:pPr>
    <w:rPr>
      <w:rFonts w:cs="Arial"/>
      <w:b/>
      <w:bCs/>
      <w:sz w:val="24"/>
      <w:szCs w:val="26"/>
    </w:rPr>
  </w:style>
  <w:style w:type="paragraph" w:styleId="berschrift4">
    <w:name w:val="heading 4"/>
    <w:basedOn w:val="Standard"/>
    <w:next w:val="Standard"/>
    <w:qFormat/>
    <w:rsid w:val="00023378"/>
    <w:pPr>
      <w:keepNext/>
      <w:spacing w:before="480" w:after="240"/>
      <w:outlineLvl w:val="3"/>
    </w:pPr>
    <w:rPr>
      <w:b/>
      <w:bCs/>
      <w:i/>
      <w:sz w:val="24"/>
      <w:szCs w:val="28"/>
    </w:rPr>
  </w:style>
  <w:style w:type="paragraph" w:styleId="berschrift5">
    <w:name w:val="heading 5"/>
    <w:basedOn w:val="Standard"/>
    <w:next w:val="Standard"/>
    <w:qFormat/>
    <w:rsid w:val="00023378"/>
    <w:pPr>
      <w:spacing w:before="480" w:after="240"/>
      <w:outlineLvl w:val="4"/>
    </w:pPr>
    <w:rPr>
      <w:b/>
      <w:bCs/>
      <w:iCs/>
      <w:szCs w:val="26"/>
    </w:rPr>
  </w:style>
  <w:style w:type="paragraph" w:styleId="berschrift6">
    <w:name w:val="heading 6"/>
    <w:basedOn w:val="Standard"/>
    <w:next w:val="Standard"/>
    <w:qFormat/>
    <w:rsid w:val="00023378"/>
    <w:pPr>
      <w:spacing w:before="480" w:after="240"/>
      <w:outlineLvl w:val="5"/>
    </w:pPr>
    <w:rPr>
      <w:b/>
      <w:bCs/>
      <w:i/>
      <w:szCs w:val="22"/>
    </w:rPr>
  </w:style>
  <w:style w:type="paragraph" w:styleId="berschrift7">
    <w:name w:val="heading 7"/>
    <w:basedOn w:val="Standard"/>
    <w:next w:val="Standard"/>
    <w:qFormat/>
    <w:rsid w:val="00023378"/>
    <w:pPr>
      <w:spacing w:before="480" w:after="240"/>
      <w:outlineLvl w:val="6"/>
    </w:pPr>
  </w:style>
  <w:style w:type="paragraph" w:styleId="berschrift8">
    <w:name w:val="heading 8"/>
    <w:basedOn w:val="Standard"/>
    <w:next w:val="Standard"/>
    <w:qFormat/>
    <w:rsid w:val="00023378"/>
    <w:pPr>
      <w:spacing w:before="480" w:after="240"/>
      <w:outlineLvl w:val="7"/>
    </w:pPr>
    <w:rPr>
      <w:i/>
      <w:iCs/>
    </w:rPr>
  </w:style>
  <w:style w:type="paragraph" w:styleId="berschrift9">
    <w:name w:val="heading 9"/>
    <w:basedOn w:val="Standard"/>
    <w:next w:val="Standard"/>
    <w:qFormat/>
    <w:rsid w:val="00023378"/>
    <w:pPr>
      <w:spacing w:before="480" w:after="240"/>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rsid w:val="003F203F"/>
    <w:pPr>
      <w:spacing w:before="600" w:after="360"/>
    </w:pPr>
    <w:rPr>
      <w:b/>
      <w:sz w:val="26"/>
    </w:rPr>
  </w:style>
  <w:style w:type="paragraph" w:customStyle="1" w:styleId="DatumdesBriefs">
    <w:name w:val="Datum des Briefs"/>
    <w:basedOn w:val="Standard"/>
    <w:rsid w:val="00E81429"/>
    <w:pPr>
      <w:spacing w:before="720"/>
      <w:jc w:val="right"/>
    </w:pPr>
    <w:rPr>
      <w:szCs w:val="20"/>
    </w:rPr>
  </w:style>
  <w:style w:type="paragraph" w:styleId="Kopfzeile">
    <w:name w:val="header"/>
    <w:basedOn w:val="Standard"/>
    <w:rsid w:val="001433C0"/>
    <w:pPr>
      <w:tabs>
        <w:tab w:val="center" w:pos="4703"/>
        <w:tab w:val="right" w:pos="9406"/>
      </w:tabs>
    </w:pPr>
    <w:rPr>
      <w:sz w:val="18"/>
    </w:rPr>
  </w:style>
  <w:style w:type="paragraph" w:styleId="Fuzeile">
    <w:name w:val="footer"/>
    <w:basedOn w:val="Standard"/>
    <w:rsid w:val="001433C0"/>
    <w:pPr>
      <w:tabs>
        <w:tab w:val="center" w:pos="4703"/>
        <w:tab w:val="right" w:pos="9406"/>
      </w:tabs>
    </w:pPr>
    <w:rPr>
      <w:sz w:val="18"/>
    </w:rPr>
  </w:style>
  <w:style w:type="paragraph" w:customStyle="1" w:styleId="Adresse">
    <w:name w:val="Adresse"/>
    <w:basedOn w:val="Standard"/>
    <w:rsid w:val="00E12092"/>
    <w:pPr>
      <w:spacing w:line="240" w:lineRule="auto"/>
    </w:pPr>
  </w:style>
  <w:style w:type="paragraph" w:styleId="Untertitel">
    <w:name w:val="Subtitle"/>
    <w:basedOn w:val="Standard"/>
    <w:qFormat/>
    <w:rsid w:val="00E6654D"/>
    <w:pPr>
      <w:spacing w:after="0"/>
      <w:jc w:val="left"/>
    </w:pPr>
    <w:rPr>
      <w:rFonts w:cs="Arial"/>
      <w:sz w:val="36"/>
      <w:szCs w:val="36"/>
    </w:rPr>
  </w:style>
  <w:style w:type="paragraph" w:styleId="Titel">
    <w:name w:val="Title"/>
    <w:basedOn w:val="Standard"/>
    <w:qFormat/>
    <w:rsid w:val="00E6654D"/>
    <w:pPr>
      <w:spacing w:before="1200" w:after="600"/>
      <w:jc w:val="left"/>
    </w:pPr>
    <w:rPr>
      <w:b/>
      <w:bCs/>
      <w:sz w:val="48"/>
      <w:szCs w:val="20"/>
    </w:rPr>
  </w:style>
  <w:style w:type="paragraph" w:styleId="Datum">
    <w:name w:val="Date"/>
    <w:basedOn w:val="Standard"/>
    <w:next w:val="Standard"/>
    <w:rsid w:val="00E6654D"/>
    <w:pPr>
      <w:jc w:val="left"/>
    </w:pPr>
    <w:rPr>
      <w:sz w:val="24"/>
    </w:rPr>
  </w:style>
  <w:style w:type="paragraph" w:customStyle="1" w:styleId="Projektteam">
    <w:name w:val="Projektteam"/>
    <w:basedOn w:val="Standard"/>
    <w:rsid w:val="00E6654D"/>
    <w:pPr>
      <w:jc w:val="left"/>
    </w:pPr>
    <w:rPr>
      <w:b/>
      <w:szCs w:val="22"/>
    </w:rPr>
  </w:style>
  <w:style w:type="paragraph" w:styleId="Verzeichnis1">
    <w:name w:val="toc 1"/>
    <w:basedOn w:val="Standard"/>
    <w:next w:val="Standard"/>
    <w:uiPriority w:val="39"/>
    <w:rsid w:val="002B5854"/>
    <w:pPr>
      <w:tabs>
        <w:tab w:val="left" w:pos="720"/>
        <w:tab w:val="right" w:leader="dot" w:pos="9062"/>
      </w:tabs>
      <w:spacing w:before="240" w:line="360" w:lineRule="auto"/>
      <w:ind w:left="720" w:hanging="720"/>
      <w:jc w:val="left"/>
    </w:pPr>
    <w:rPr>
      <w:b/>
      <w:noProof/>
    </w:rPr>
  </w:style>
  <w:style w:type="paragraph" w:styleId="Verzeichnis9">
    <w:name w:val="toc 9"/>
    <w:basedOn w:val="Standard"/>
    <w:next w:val="Standard"/>
    <w:rsid w:val="004736FB"/>
    <w:pPr>
      <w:ind w:left="1760"/>
    </w:pPr>
  </w:style>
  <w:style w:type="character" w:styleId="Hyperlink">
    <w:name w:val="Hyperlink"/>
    <w:uiPriority w:val="99"/>
    <w:rsid w:val="00C372C7"/>
    <w:rPr>
      <w:color w:val="E35100"/>
      <w:u w:val="single"/>
    </w:rPr>
  </w:style>
  <w:style w:type="paragraph" w:customStyle="1" w:styleId="berschriftInhaltsverzeichnis">
    <w:name w:val="Überschrift Inhaltsverzeichnis"/>
    <w:basedOn w:val="Standard"/>
    <w:rsid w:val="00AF5E16"/>
    <w:pPr>
      <w:pBdr>
        <w:bottom w:val="single" w:sz="8" w:space="1" w:color="E35114"/>
      </w:pBdr>
      <w:spacing w:after="480" w:line="240" w:lineRule="auto"/>
    </w:pPr>
    <w:rPr>
      <w:b/>
      <w:sz w:val="28"/>
      <w:szCs w:val="32"/>
    </w:rPr>
  </w:style>
  <w:style w:type="paragraph" w:styleId="Funotentext">
    <w:name w:val="footnote text"/>
    <w:basedOn w:val="Standard"/>
    <w:rsid w:val="00023378"/>
    <w:pPr>
      <w:spacing w:line="240" w:lineRule="auto"/>
    </w:pPr>
    <w:rPr>
      <w:sz w:val="18"/>
      <w:szCs w:val="20"/>
      <w:lang w:val="de-DE" w:eastAsia="de-DE"/>
    </w:rPr>
  </w:style>
  <w:style w:type="character" w:styleId="Funotenzeichen">
    <w:name w:val="footnote reference"/>
    <w:rsid w:val="009D678E"/>
    <w:rPr>
      <w:vertAlign w:val="superscript"/>
    </w:rPr>
  </w:style>
  <w:style w:type="paragraph" w:customStyle="1" w:styleId="Funote">
    <w:name w:val="Fußnote"/>
    <w:basedOn w:val="Funotentext"/>
    <w:next w:val="Funotentext"/>
    <w:rsid w:val="00F447C5"/>
    <w:rPr>
      <w:rFonts w:cs="Arial"/>
      <w:szCs w:val="18"/>
    </w:rPr>
  </w:style>
  <w:style w:type="paragraph" w:styleId="Beschriftung">
    <w:name w:val="caption"/>
    <w:basedOn w:val="Standard"/>
    <w:next w:val="Standard"/>
    <w:qFormat/>
    <w:rsid w:val="00F071DC"/>
    <w:pPr>
      <w:keepNext/>
      <w:spacing w:before="120" w:after="360" w:line="360" w:lineRule="auto"/>
    </w:pPr>
    <w:rPr>
      <w:bCs/>
      <w:sz w:val="18"/>
      <w:szCs w:val="20"/>
    </w:rPr>
  </w:style>
  <w:style w:type="paragraph" w:styleId="Abbildungsverzeichnis">
    <w:name w:val="table of figures"/>
    <w:basedOn w:val="Standard"/>
    <w:next w:val="Standard"/>
    <w:rsid w:val="0017376B"/>
  </w:style>
  <w:style w:type="paragraph" w:styleId="Dokumentstruktur">
    <w:name w:val="Document Map"/>
    <w:basedOn w:val="Standard"/>
    <w:rsid w:val="0017376B"/>
    <w:pPr>
      <w:shd w:val="clear" w:color="auto" w:fill="000080"/>
    </w:pPr>
    <w:rPr>
      <w:rFonts w:ascii="Tahoma" w:hAnsi="Tahoma" w:cs="Tahoma"/>
      <w:sz w:val="20"/>
      <w:szCs w:val="20"/>
    </w:rPr>
  </w:style>
  <w:style w:type="paragraph" w:styleId="Endnotentext">
    <w:name w:val="endnote text"/>
    <w:basedOn w:val="Standard"/>
    <w:rsid w:val="0017376B"/>
    <w:rPr>
      <w:sz w:val="20"/>
      <w:szCs w:val="20"/>
    </w:rPr>
  </w:style>
  <w:style w:type="character" w:styleId="Endnotenzeichen">
    <w:name w:val="endnote reference"/>
    <w:rsid w:val="0017376B"/>
    <w:rPr>
      <w:vertAlign w:val="superscript"/>
    </w:rPr>
  </w:style>
  <w:style w:type="paragraph" w:styleId="Index1">
    <w:name w:val="index 1"/>
    <w:basedOn w:val="Standard"/>
    <w:next w:val="Standard"/>
    <w:autoRedefine/>
    <w:rsid w:val="0017376B"/>
    <w:pPr>
      <w:ind w:left="220" w:hanging="220"/>
    </w:pPr>
  </w:style>
  <w:style w:type="paragraph" w:styleId="Index2">
    <w:name w:val="index 2"/>
    <w:basedOn w:val="Standard"/>
    <w:next w:val="Standard"/>
    <w:autoRedefine/>
    <w:rsid w:val="0017376B"/>
    <w:pPr>
      <w:ind w:left="440" w:hanging="220"/>
    </w:pPr>
  </w:style>
  <w:style w:type="paragraph" w:styleId="Index3">
    <w:name w:val="index 3"/>
    <w:basedOn w:val="Standard"/>
    <w:next w:val="Standard"/>
    <w:autoRedefine/>
    <w:rsid w:val="0017376B"/>
    <w:pPr>
      <w:ind w:left="660" w:hanging="220"/>
    </w:pPr>
  </w:style>
  <w:style w:type="paragraph" w:styleId="Index4">
    <w:name w:val="index 4"/>
    <w:basedOn w:val="Standard"/>
    <w:next w:val="Standard"/>
    <w:autoRedefine/>
    <w:rsid w:val="0017376B"/>
    <w:pPr>
      <w:ind w:left="880" w:hanging="220"/>
    </w:pPr>
  </w:style>
  <w:style w:type="paragraph" w:styleId="Index5">
    <w:name w:val="index 5"/>
    <w:basedOn w:val="Standard"/>
    <w:next w:val="Standard"/>
    <w:autoRedefine/>
    <w:rsid w:val="0017376B"/>
    <w:pPr>
      <w:ind w:left="1100" w:hanging="220"/>
    </w:pPr>
  </w:style>
  <w:style w:type="paragraph" w:styleId="Index6">
    <w:name w:val="index 6"/>
    <w:basedOn w:val="Standard"/>
    <w:next w:val="Standard"/>
    <w:autoRedefine/>
    <w:rsid w:val="0017376B"/>
    <w:pPr>
      <w:ind w:left="1320" w:hanging="220"/>
    </w:pPr>
  </w:style>
  <w:style w:type="paragraph" w:styleId="Index7">
    <w:name w:val="index 7"/>
    <w:basedOn w:val="Standard"/>
    <w:next w:val="Standard"/>
    <w:autoRedefine/>
    <w:rsid w:val="0017376B"/>
    <w:pPr>
      <w:ind w:left="1540" w:hanging="220"/>
    </w:pPr>
  </w:style>
  <w:style w:type="paragraph" w:styleId="Index8">
    <w:name w:val="index 8"/>
    <w:basedOn w:val="Standard"/>
    <w:next w:val="Standard"/>
    <w:autoRedefine/>
    <w:rsid w:val="0017376B"/>
    <w:pPr>
      <w:ind w:left="1760" w:hanging="220"/>
    </w:pPr>
  </w:style>
  <w:style w:type="paragraph" w:styleId="Index9">
    <w:name w:val="index 9"/>
    <w:basedOn w:val="Standard"/>
    <w:next w:val="Standard"/>
    <w:autoRedefine/>
    <w:rsid w:val="0017376B"/>
    <w:pPr>
      <w:ind w:left="1980" w:hanging="220"/>
    </w:pPr>
  </w:style>
  <w:style w:type="paragraph" w:styleId="Indexberschrift">
    <w:name w:val="index heading"/>
    <w:basedOn w:val="Standard"/>
    <w:next w:val="Index1"/>
    <w:rsid w:val="0017376B"/>
    <w:rPr>
      <w:rFonts w:cs="Arial"/>
      <w:b/>
      <w:bCs/>
    </w:rPr>
  </w:style>
  <w:style w:type="paragraph" w:styleId="Kommentartext">
    <w:name w:val="annotation text"/>
    <w:basedOn w:val="Standard"/>
    <w:rsid w:val="0017376B"/>
    <w:rPr>
      <w:sz w:val="20"/>
      <w:szCs w:val="20"/>
    </w:rPr>
  </w:style>
  <w:style w:type="paragraph" w:styleId="Kommentarthema">
    <w:name w:val="annotation subject"/>
    <w:basedOn w:val="Kommentartext"/>
    <w:next w:val="Kommentartext"/>
    <w:rsid w:val="0017376B"/>
    <w:rPr>
      <w:b/>
      <w:bCs/>
    </w:rPr>
  </w:style>
  <w:style w:type="character" w:styleId="Kommentarzeichen">
    <w:name w:val="annotation reference"/>
    <w:rsid w:val="0017376B"/>
    <w:rPr>
      <w:sz w:val="16"/>
      <w:szCs w:val="16"/>
    </w:rPr>
  </w:style>
  <w:style w:type="paragraph" w:styleId="Makrotext">
    <w:name w:val="macro"/>
    <w:rsid w:val="0017376B"/>
    <w:pPr>
      <w:tabs>
        <w:tab w:val="left" w:pos="480"/>
        <w:tab w:val="left" w:pos="960"/>
        <w:tab w:val="left" w:pos="1440"/>
        <w:tab w:val="left" w:pos="1920"/>
        <w:tab w:val="left" w:pos="2400"/>
        <w:tab w:val="left" w:pos="2880"/>
        <w:tab w:val="left" w:pos="3360"/>
        <w:tab w:val="left" w:pos="3840"/>
        <w:tab w:val="left" w:pos="4320"/>
      </w:tabs>
      <w:spacing w:after="120" w:line="312" w:lineRule="auto"/>
    </w:pPr>
    <w:rPr>
      <w:rFonts w:ascii="Courier New" w:hAnsi="Courier New" w:cs="Courier New"/>
    </w:rPr>
  </w:style>
  <w:style w:type="paragraph" w:styleId="Rechtsgrundlagenverzeichnis">
    <w:name w:val="table of authorities"/>
    <w:basedOn w:val="Standard"/>
    <w:next w:val="Standard"/>
    <w:rsid w:val="0017376B"/>
    <w:pPr>
      <w:ind w:left="220" w:hanging="220"/>
    </w:pPr>
  </w:style>
  <w:style w:type="paragraph" w:styleId="RGV-berschrift">
    <w:name w:val="toa heading"/>
    <w:basedOn w:val="Standard"/>
    <w:next w:val="Standard"/>
    <w:rsid w:val="0017376B"/>
    <w:pPr>
      <w:spacing w:before="120"/>
    </w:pPr>
    <w:rPr>
      <w:rFonts w:cs="Arial"/>
      <w:b/>
      <w:bCs/>
      <w:sz w:val="24"/>
    </w:rPr>
  </w:style>
  <w:style w:type="paragraph" w:styleId="Sprechblasentext">
    <w:name w:val="Balloon Text"/>
    <w:basedOn w:val="Standard"/>
    <w:rsid w:val="0017376B"/>
    <w:rPr>
      <w:rFonts w:ascii="Tahoma" w:hAnsi="Tahoma" w:cs="Tahoma"/>
      <w:sz w:val="16"/>
      <w:szCs w:val="16"/>
    </w:rPr>
  </w:style>
  <w:style w:type="paragraph" w:styleId="Verzeichnis2">
    <w:name w:val="toc 2"/>
    <w:basedOn w:val="Standard"/>
    <w:next w:val="Standard"/>
    <w:uiPriority w:val="39"/>
    <w:rsid w:val="002B5854"/>
    <w:pPr>
      <w:tabs>
        <w:tab w:val="left" w:pos="720"/>
        <w:tab w:val="right" w:leader="dot" w:pos="9062"/>
      </w:tabs>
      <w:spacing w:after="0" w:line="360" w:lineRule="auto"/>
      <w:ind w:left="720" w:hanging="720"/>
      <w:jc w:val="left"/>
    </w:pPr>
    <w:rPr>
      <w:noProof/>
    </w:rPr>
  </w:style>
  <w:style w:type="paragraph" w:styleId="Verzeichnis3">
    <w:name w:val="toc 3"/>
    <w:basedOn w:val="Standard"/>
    <w:next w:val="Standard"/>
    <w:uiPriority w:val="39"/>
    <w:rsid w:val="001F13B3"/>
    <w:pPr>
      <w:tabs>
        <w:tab w:val="left" w:pos="720"/>
        <w:tab w:val="right" w:leader="dot" w:pos="9062"/>
      </w:tabs>
      <w:spacing w:line="240" w:lineRule="auto"/>
      <w:ind w:left="1440" w:hanging="720"/>
      <w:jc w:val="left"/>
    </w:pPr>
    <w:rPr>
      <w:noProof/>
    </w:rPr>
  </w:style>
  <w:style w:type="paragraph" w:styleId="Verzeichnis4">
    <w:name w:val="toc 4"/>
    <w:basedOn w:val="Standard"/>
    <w:next w:val="Standard"/>
    <w:rsid w:val="00AF5E16"/>
    <w:pPr>
      <w:tabs>
        <w:tab w:val="right" w:leader="dot" w:pos="9062"/>
      </w:tabs>
      <w:ind w:left="720"/>
    </w:pPr>
    <w:rPr>
      <w:noProof/>
    </w:rPr>
  </w:style>
  <w:style w:type="paragraph" w:styleId="Verzeichnis5">
    <w:name w:val="toc 5"/>
    <w:basedOn w:val="Standard"/>
    <w:next w:val="Standard"/>
    <w:rsid w:val="00AF5E16"/>
    <w:pPr>
      <w:tabs>
        <w:tab w:val="right" w:leader="dot" w:pos="9062"/>
      </w:tabs>
      <w:ind w:left="720"/>
    </w:pPr>
    <w:rPr>
      <w:noProof/>
    </w:rPr>
  </w:style>
  <w:style w:type="paragraph" w:styleId="Verzeichnis6">
    <w:name w:val="toc 6"/>
    <w:basedOn w:val="Standard"/>
    <w:next w:val="Standard"/>
    <w:rsid w:val="00AF5E16"/>
    <w:pPr>
      <w:tabs>
        <w:tab w:val="right" w:leader="dot" w:pos="9062"/>
      </w:tabs>
      <w:ind w:left="720"/>
    </w:pPr>
    <w:rPr>
      <w:noProof/>
    </w:rPr>
  </w:style>
  <w:style w:type="paragraph" w:styleId="Verzeichnis7">
    <w:name w:val="toc 7"/>
    <w:basedOn w:val="Standard"/>
    <w:next w:val="Standard"/>
    <w:rsid w:val="0017376B"/>
    <w:pPr>
      <w:ind w:left="1320"/>
    </w:pPr>
  </w:style>
  <w:style w:type="paragraph" w:styleId="Verzeichnis8">
    <w:name w:val="toc 8"/>
    <w:basedOn w:val="Standard"/>
    <w:next w:val="Standard"/>
    <w:rsid w:val="0017376B"/>
    <w:pPr>
      <w:ind w:left="1540"/>
    </w:pPr>
  </w:style>
  <w:style w:type="paragraph" w:customStyle="1" w:styleId="Tabelle">
    <w:name w:val="Tabelle"/>
    <w:basedOn w:val="Standard"/>
    <w:semiHidden/>
    <w:rsid w:val="00C02DFE"/>
    <w:pPr>
      <w:autoSpaceDE w:val="0"/>
      <w:autoSpaceDN w:val="0"/>
      <w:adjustRightInd w:val="0"/>
      <w:spacing w:before="60" w:after="60" w:line="240" w:lineRule="auto"/>
    </w:pPr>
    <w:rPr>
      <w:rFonts w:ascii="Times New Roman" w:hAnsi="Times New Roman" w:cs="Arial"/>
      <w:sz w:val="20"/>
      <w:szCs w:val="22"/>
      <w:lang w:eastAsia="de-DE"/>
    </w:rPr>
  </w:style>
  <w:style w:type="table" w:styleId="TabelleEinfach1">
    <w:name w:val="Table Simple 1"/>
    <w:basedOn w:val="NormaleTabelle"/>
    <w:semiHidden/>
    <w:rsid w:val="00C02DFE"/>
    <w:pPr>
      <w:spacing w:after="120" w:line="312"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Farbig1">
    <w:name w:val="Table Colorful 1"/>
    <w:basedOn w:val="NormaleTabelle"/>
    <w:semiHidden/>
    <w:rsid w:val="00C02DFE"/>
    <w:pPr>
      <w:spacing w:after="120" w:line="312"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02DFE"/>
    <w:pPr>
      <w:spacing w:after="120" w:line="312"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3D-Effekt3">
    <w:name w:val="Table 3D effects 3"/>
    <w:basedOn w:val="NormaleTabelle"/>
    <w:semiHidden/>
    <w:rsid w:val="00C02DFE"/>
    <w:pPr>
      <w:spacing w:after="120" w:line="312"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02DFE"/>
    <w:pPr>
      <w:spacing w:after="120" w:line="312"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7">
    <w:name w:val="Tabelle e7"/>
    <w:basedOn w:val="NormaleTabelle"/>
    <w:rsid w:val="00681070"/>
    <w:pPr>
      <w:jc w:val="right"/>
    </w:pPr>
    <w:rPr>
      <w:rFonts w:ascii="Arial" w:hAnsi="Arial"/>
    </w:rPr>
    <w:tblPr>
      <w:tblStyleRowBandSize w:val="1"/>
      <w:tblStyleColBandSize w:val="1"/>
      <w:tblBorders>
        <w:top w:val="single" w:sz="2" w:space="0" w:color="808080"/>
        <w:bottom w:val="single" w:sz="2" w:space="0" w:color="808080"/>
        <w:insideH w:val="single" w:sz="2" w:space="0" w:color="808080"/>
      </w:tblBorders>
    </w:tblPr>
    <w:tcPr>
      <w:shd w:val="clear" w:color="auto" w:fill="auto"/>
    </w:tcPr>
    <w:tblStylePr w:type="firstRow">
      <w:pPr>
        <w:wordWrap/>
        <w:spacing w:beforeLines="0"/>
      </w:pPr>
      <w:rPr>
        <w:rFonts w:ascii="Arial" w:hAnsi="Arial"/>
        <w:b/>
        <w:color w:val="auto"/>
        <w:sz w:val="22"/>
      </w:rPr>
      <w:tblPr/>
      <w:tcPr>
        <w:tcBorders>
          <w:top w:val="single" w:sz="2" w:space="0" w:color="E35114"/>
          <w:left w:val="nil"/>
          <w:bottom w:val="single" w:sz="2" w:space="0" w:color="E35114"/>
          <w:right w:val="nil"/>
          <w:insideH w:val="nil"/>
          <w:insideV w:val="nil"/>
          <w:tl2br w:val="nil"/>
          <w:tr2bl w:val="nil"/>
        </w:tcBorders>
        <w:shd w:val="clear" w:color="auto" w:fill="auto"/>
      </w:tcPr>
    </w:tblStylePr>
    <w:tblStylePr w:type="lastRow">
      <w:rPr>
        <w:b w:val="0"/>
      </w:rPr>
      <w:tblPr/>
      <w:tcPr>
        <w:tcBorders>
          <w:top w:val="single" w:sz="2" w:space="0" w:color="808080"/>
          <w:left w:val="nil"/>
          <w:bottom w:val="single" w:sz="2" w:space="0" w:color="808080"/>
          <w:right w:val="nil"/>
          <w:insideH w:val="single" w:sz="2" w:space="0" w:color="808080"/>
          <w:insideV w:val="nil"/>
          <w:tl2br w:val="nil"/>
          <w:tr2bl w:val="nil"/>
        </w:tcBorders>
        <w:shd w:val="clear" w:color="auto" w:fill="FFFFFF"/>
      </w:tcPr>
    </w:tblStylePr>
    <w:tblStylePr w:type="firstCol">
      <w:pPr>
        <w:wordWrap/>
        <w:jc w:val="left"/>
      </w:pPr>
      <w:rPr>
        <w:b w:val="0"/>
      </w:rPr>
      <w:tblPr/>
      <w:tcPr>
        <w:tcBorders>
          <w:top w:val="single" w:sz="2" w:space="0" w:color="808080"/>
          <w:left w:val="nil"/>
          <w:bottom w:val="single" w:sz="2" w:space="0" w:color="808080"/>
          <w:right w:val="nil"/>
          <w:insideH w:val="single" w:sz="2" w:space="0" w:color="808080"/>
          <w:insideV w:val="nil"/>
          <w:tl2br w:val="nil"/>
          <w:tr2bl w:val="nil"/>
        </w:tcBorders>
        <w:shd w:val="clear" w:color="auto" w:fill="FFFFFF"/>
      </w:tcPr>
    </w:tblStylePr>
    <w:tblStylePr w:type="lastCol">
      <w:rPr>
        <w:b w:val="0"/>
      </w:rPr>
      <w:tblPr/>
      <w:tcPr>
        <w:tcBorders>
          <w:top w:val="single" w:sz="2" w:space="0" w:color="808080"/>
          <w:left w:val="nil"/>
          <w:bottom w:val="single" w:sz="2" w:space="0" w:color="808080"/>
          <w:right w:val="nil"/>
          <w:insideH w:val="single" w:sz="2" w:space="0" w:color="808080"/>
          <w:insideV w:val="nil"/>
          <w:tl2br w:val="nil"/>
          <w:tr2bl w:val="nil"/>
        </w:tcBorders>
        <w:shd w:val="clear" w:color="auto" w:fill="auto"/>
      </w:tcPr>
    </w:tblStylePr>
    <w:tblStylePr w:type="band1Vert">
      <w:tblPr/>
      <w:tcPr>
        <w:tcBorders>
          <w:top w:val="single" w:sz="2" w:space="0" w:color="808080"/>
          <w:left w:val="nil"/>
          <w:bottom w:val="single" w:sz="2" w:space="0" w:color="808080"/>
          <w:right w:val="nil"/>
          <w:insideH w:val="nil"/>
          <w:insideV w:val="nil"/>
          <w:tl2br w:val="nil"/>
          <w:tr2bl w:val="nil"/>
        </w:tcBorders>
        <w:shd w:val="clear" w:color="auto" w:fill="auto"/>
      </w:tcPr>
    </w:tblStylePr>
    <w:tblStylePr w:type="band2Vert">
      <w:tblPr/>
      <w:tcPr>
        <w:tcBorders>
          <w:top w:val="single" w:sz="2" w:space="0" w:color="808080"/>
          <w:left w:val="nil"/>
          <w:bottom w:val="single" w:sz="2" w:space="0" w:color="808080"/>
          <w:right w:val="nil"/>
          <w:insideH w:val="nil"/>
          <w:insideV w:val="nil"/>
          <w:tl2br w:val="nil"/>
          <w:tr2bl w:val="nil"/>
        </w:tcBorders>
        <w:shd w:val="clear" w:color="auto" w:fill="auto"/>
      </w:tcPr>
    </w:tblStylePr>
    <w:tblStylePr w:type="band1Horz">
      <w:tblPr/>
      <w:tcPr>
        <w:tcBorders>
          <w:top w:val="single" w:sz="2" w:space="0" w:color="808080"/>
          <w:left w:val="nil"/>
          <w:bottom w:val="single" w:sz="2" w:space="0" w:color="808080"/>
          <w:right w:val="nil"/>
          <w:insideH w:val="single" w:sz="2" w:space="0" w:color="808080"/>
          <w:insideV w:val="nil"/>
          <w:tl2br w:val="nil"/>
          <w:tr2bl w:val="nil"/>
        </w:tcBorders>
        <w:shd w:val="clear" w:color="auto" w:fill="auto"/>
      </w:tcPr>
    </w:tblStylePr>
    <w:tblStylePr w:type="band2Horz">
      <w:tblPr/>
      <w:tcPr>
        <w:tcBorders>
          <w:top w:val="single" w:sz="2" w:space="0" w:color="808080"/>
          <w:left w:val="nil"/>
          <w:bottom w:val="single" w:sz="2" w:space="0" w:color="808080"/>
          <w:right w:val="nil"/>
          <w:insideH w:val="single" w:sz="2" w:space="0" w:color="808080"/>
          <w:insideV w:val="nil"/>
          <w:tl2br w:val="nil"/>
          <w:tr2bl w:val="nil"/>
        </w:tcBorders>
        <w:shd w:val="clear" w:color="auto" w:fill="auto"/>
      </w:tcPr>
    </w:tblStylePr>
    <w:tblStylePr w:type="neCell">
      <w:tblPr/>
      <w:tcPr>
        <w:tcBorders>
          <w:top w:val="single" w:sz="2" w:space="0" w:color="E35114"/>
          <w:left w:val="nil"/>
          <w:bottom w:val="single" w:sz="2" w:space="0" w:color="E35114"/>
          <w:right w:val="nil"/>
          <w:insideH w:val="single" w:sz="2" w:space="0" w:color="E35114"/>
          <w:insideV w:val="nil"/>
          <w:tl2br w:val="nil"/>
          <w:tr2bl w:val="nil"/>
        </w:tcBorders>
        <w:shd w:val="clear" w:color="auto" w:fill="auto"/>
      </w:tcPr>
    </w:tblStylePr>
    <w:tblStylePr w:type="nwCell">
      <w:pPr>
        <w:jc w:val="left"/>
      </w:pPr>
      <w:tblPr/>
      <w:tcPr>
        <w:tcBorders>
          <w:top w:val="single" w:sz="2" w:space="0" w:color="E35114"/>
          <w:left w:val="nil"/>
          <w:bottom w:val="single" w:sz="2" w:space="0" w:color="E35114"/>
          <w:right w:val="nil"/>
          <w:insideH w:val="single" w:sz="2" w:space="0" w:color="E35114"/>
          <w:insideV w:val="nil"/>
          <w:tl2br w:val="nil"/>
          <w:tr2bl w:val="nil"/>
        </w:tcBorders>
      </w:tcPr>
    </w:tblStylePr>
    <w:tblStylePr w:type="seCell">
      <w:tblPr/>
      <w:tcPr>
        <w:tcBorders>
          <w:top w:val="single" w:sz="2" w:space="0" w:color="808080"/>
          <w:left w:val="nil"/>
          <w:bottom w:val="single" w:sz="2" w:space="0" w:color="808080"/>
          <w:right w:val="nil"/>
          <w:insideH w:val="nil"/>
          <w:insideV w:val="nil"/>
          <w:tl2br w:val="nil"/>
          <w:tr2bl w:val="nil"/>
        </w:tcBorders>
        <w:shd w:val="clear" w:color="auto" w:fill="auto"/>
      </w:tcPr>
    </w:tblStylePr>
    <w:tblStylePr w:type="swCell">
      <w:pPr>
        <w:jc w:val="left"/>
      </w:pPr>
      <w:tblPr/>
      <w:tcPr>
        <w:tcBorders>
          <w:top w:val="single" w:sz="2" w:space="0" w:color="808080"/>
          <w:left w:val="nil"/>
          <w:bottom w:val="single" w:sz="2" w:space="0" w:color="808080"/>
          <w:right w:val="nil"/>
          <w:insideH w:val="single" w:sz="2" w:space="0" w:color="808080"/>
          <w:insideV w:val="nil"/>
          <w:tl2br w:val="nil"/>
          <w:tr2bl w:val="nil"/>
        </w:tcBorders>
      </w:tcPr>
    </w:tblStylePr>
  </w:style>
  <w:style w:type="paragraph" w:customStyle="1" w:styleId="TabelleText">
    <w:name w:val="Tabelle Text"/>
    <w:basedOn w:val="Standard"/>
    <w:rsid w:val="00F071DC"/>
    <w:pPr>
      <w:keepNext/>
      <w:spacing w:before="60" w:after="20" w:line="240" w:lineRule="auto"/>
      <w:jc w:val="left"/>
    </w:pPr>
    <w:rPr>
      <w:sz w:val="20"/>
      <w:szCs w:val="22"/>
    </w:rPr>
  </w:style>
  <w:style w:type="numbering" w:customStyle="1" w:styleId="Aufzhlung">
    <w:name w:val="Aufzählung"/>
    <w:basedOn w:val="KeineListe"/>
    <w:rsid w:val="0011675C"/>
    <w:pPr>
      <w:numPr>
        <w:numId w:val="2"/>
      </w:numPr>
    </w:pPr>
  </w:style>
  <w:style w:type="table" w:styleId="Tabellenraster">
    <w:name w:val="Table Grid"/>
    <w:basedOn w:val="NormaleTabelle"/>
    <w:rsid w:val="00C372C7"/>
    <w:pPr>
      <w:spacing w:after="12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Funktion">
    <w:name w:val="Dokument Funktion"/>
    <w:basedOn w:val="Standard"/>
    <w:next w:val="Standard"/>
    <w:rsid w:val="00E6654D"/>
    <w:pPr>
      <w:spacing w:after="1200"/>
      <w:jc w:val="left"/>
    </w:pPr>
    <w:rPr>
      <w:b/>
      <w:sz w:val="32"/>
      <w:szCs w:val="32"/>
    </w:rPr>
  </w:style>
  <w:style w:type="paragraph" w:customStyle="1" w:styleId="TitelLinie">
    <w:name w:val="Titel Linie"/>
    <w:basedOn w:val="Standard"/>
    <w:rsid w:val="001C677A"/>
    <w:pPr>
      <w:pBdr>
        <w:top w:val="single" w:sz="8" w:space="1" w:color="E35114"/>
      </w:pBdr>
      <w:spacing w:after="1320"/>
    </w:pPr>
  </w:style>
  <w:style w:type="paragraph" w:styleId="Listenabsatz">
    <w:name w:val="List Paragraph"/>
    <w:basedOn w:val="Standard"/>
    <w:uiPriority w:val="34"/>
    <w:qFormat/>
    <w:rsid w:val="00583063"/>
    <w:pPr>
      <w:ind w:left="720"/>
      <w:contextualSpacing/>
    </w:pPr>
  </w:style>
  <w:style w:type="paragraph" w:styleId="berarbeitung">
    <w:name w:val="Revision"/>
    <w:hidden/>
    <w:uiPriority w:val="99"/>
    <w:semiHidden/>
    <w:rsid w:val="00AD52C7"/>
    <w:rPr>
      <w:rFonts w:ascii="Arial" w:hAnsi="Arial"/>
      <w:sz w:val="22"/>
      <w:szCs w:val="24"/>
    </w:rPr>
  </w:style>
  <w:style w:type="paragraph" w:customStyle="1" w:styleId="AufzhlungListe">
    <w:name w:val="Aufzählung_Liste"/>
    <w:basedOn w:val="Standard"/>
    <w:link w:val="AufzhlungListeZchn"/>
    <w:qFormat/>
    <w:rsid w:val="00A62FE2"/>
    <w:pPr>
      <w:tabs>
        <w:tab w:val="num" w:pos="907"/>
      </w:tabs>
      <w:ind w:left="907" w:hanging="340"/>
    </w:pPr>
  </w:style>
  <w:style w:type="character" w:customStyle="1" w:styleId="AufzhlungListeZchn">
    <w:name w:val="Aufzählung_Liste Zchn"/>
    <w:basedOn w:val="Absatz-Standardschriftart"/>
    <w:link w:val="AufzhlungListe"/>
    <w:rsid w:val="00A62FE2"/>
    <w:rPr>
      <w:rFonts w:ascii="Arial" w:hAnsi="Arial"/>
      <w:sz w:val="22"/>
      <w:szCs w:val="24"/>
    </w:rPr>
  </w:style>
  <w:style w:type="character" w:styleId="Hervorhebung">
    <w:name w:val="Emphasis"/>
    <w:basedOn w:val="Absatz-Standardschriftart"/>
    <w:qFormat/>
    <w:rsid w:val="00A62F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99117">
      <w:bodyDiv w:val="1"/>
      <w:marLeft w:val="0"/>
      <w:marRight w:val="0"/>
      <w:marTop w:val="0"/>
      <w:marBottom w:val="0"/>
      <w:divBdr>
        <w:top w:val="none" w:sz="0" w:space="0" w:color="auto"/>
        <w:left w:val="none" w:sz="0" w:space="0" w:color="auto"/>
        <w:bottom w:val="none" w:sz="0" w:space="0" w:color="auto"/>
        <w:right w:val="none" w:sz="0" w:space="0" w:color="auto"/>
      </w:divBdr>
    </w:div>
    <w:div w:id="658771530">
      <w:bodyDiv w:val="1"/>
      <w:marLeft w:val="0"/>
      <w:marRight w:val="0"/>
      <w:marTop w:val="0"/>
      <w:marBottom w:val="0"/>
      <w:divBdr>
        <w:top w:val="none" w:sz="0" w:space="0" w:color="auto"/>
        <w:left w:val="none" w:sz="0" w:space="0" w:color="auto"/>
        <w:bottom w:val="none" w:sz="0" w:space="0" w:color="auto"/>
        <w:right w:val="none" w:sz="0" w:space="0" w:color="auto"/>
      </w:divBdr>
    </w:div>
    <w:div w:id="1348675103">
      <w:bodyDiv w:val="1"/>
      <w:marLeft w:val="0"/>
      <w:marRight w:val="0"/>
      <w:marTop w:val="0"/>
      <w:marBottom w:val="0"/>
      <w:divBdr>
        <w:top w:val="none" w:sz="0" w:space="0" w:color="auto"/>
        <w:left w:val="none" w:sz="0" w:space="0" w:color="auto"/>
        <w:bottom w:val="none" w:sz="0" w:space="0" w:color="auto"/>
        <w:right w:val="none" w:sz="0" w:space="0" w:color="auto"/>
      </w:divBdr>
    </w:div>
    <w:div w:id="1604919607">
      <w:bodyDiv w:val="1"/>
      <w:marLeft w:val="0"/>
      <w:marRight w:val="0"/>
      <w:marTop w:val="0"/>
      <w:marBottom w:val="0"/>
      <w:divBdr>
        <w:top w:val="none" w:sz="0" w:space="0" w:color="auto"/>
        <w:left w:val="none" w:sz="0" w:space="0" w:color="auto"/>
        <w:bottom w:val="none" w:sz="0" w:space="0" w:color="auto"/>
        <w:right w:val="none" w:sz="0" w:space="0" w:color="auto"/>
      </w:divBdr>
    </w:div>
    <w:div w:id="18290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Studie_Bericht\e7_Studie_Doppelseiti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B402-A1B6-46E8-80B8-838EA94E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e7_Studie_Doppelseitig.dot</Template>
  <TotalTime>0</TotalTime>
  <Pages>13</Pages>
  <Words>2128</Words>
  <Characters>13407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Titel der Studie</vt:lpstr>
    </vt:vector>
  </TitlesOfParts>
  <Company>e7 Energie Markt Analyse GmbH</Company>
  <LinksUpToDate>false</LinksUpToDate>
  <CharactersWithSpaces>15504</CharactersWithSpaces>
  <SharedDoc>false</SharedDoc>
  <HLinks>
    <vt:vector size="156" baseType="variant">
      <vt:variant>
        <vt:i4>3670138</vt:i4>
      </vt:variant>
      <vt:variant>
        <vt:i4>153</vt:i4>
      </vt:variant>
      <vt:variant>
        <vt:i4>0</vt:i4>
      </vt:variant>
      <vt:variant>
        <vt:i4>5</vt:i4>
      </vt:variant>
      <vt:variant>
        <vt:lpwstr>http://www.oebb-immobilien.at/de/Pressecorner/Publikationen/Flyer/wien-hauptbhf.pdf</vt:lpwstr>
      </vt:variant>
      <vt:variant>
        <vt:lpwstr/>
      </vt:variant>
      <vt:variant>
        <vt:i4>4587533</vt:i4>
      </vt:variant>
      <vt:variant>
        <vt:i4>150</vt:i4>
      </vt:variant>
      <vt:variant>
        <vt:i4>0</vt:i4>
      </vt:variant>
      <vt:variant>
        <vt:i4>5</vt:i4>
      </vt:variant>
      <vt:variant>
        <vt:lpwstr>http://www.hauptbahnhof-wien.at/</vt:lpwstr>
      </vt:variant>
      <vt:variant>
        <vt:lpwstr/>
      </vt:variant>
      <vt:variant>
        <vt:i4>6750329</vt:i4>
      </vt:variant>
      <vt:variant>
        <vt:i4>147</vt:i4>
      </vt:variant>
      <vt:variant>
        <vt:i4>0</vt:i4>
      </vt:variant>
      <vt:variant>
        <vt:i4>5</vt:i4>
      </vt:variant>
      <vt:variant>
        <vt:lpwstr>http://www.e-sieben.at/</vt:lpwstr>
      </vt:variant>
      <vt:variant>
        <vt:lpwstr/>
      </vt:variant>
      <vt:variant>
        <vt:i4>1507376</vt:i4>
      </vt:variant>
      <vt:variant>
        <vt:i4>134</vt:i4>
      </vt:variant>
      <vt:variant>
        <vt:i4>0</vt:i4>
      </vt:variant>
      <vt:variant>
        <vt:i4>5</vt:i4>
      </vt:variant>
      <vt:variant>
        <vt:lpwstr/>
      </vt:variant>
      <vt:variant>
        <vt:lpwstr>_Toc208727802</vt:lpwstr>
      </vt:variant>
      <vt:variant>
        <vt:i4>1507376</vt:i4>
      </vt:variant>
      <vt:variant>
        <vt:i4>128</vt:i4>
      </vt:variant>
      <vt:variant>
        <vt:i4>0</vt:i4>
      </vt:variant>
      <vt:variant>
        <vt:i4>5</vt:i4>
      </vt:variant>
      <vt:variant>
        <vt:lpwstr/>
      </vt:variant>
      <vt:variant>
        <vt:lpwstr>_Toc208727801</vt:lpwstr>
      </vt:variant>
      <vt:variant>
        <vt:i4>1507376</vt:i4>
      </vt:variant>
      <vt:variant>
        <vt:i4>122</vt:i4>
      </vt:variant>
      <vt:variant>
        <vt:i4>0</vt:i4>
      </vt:variant>
      <vt:variant>
        <vt:i4>5</vt:i4>
      </vt:variant>
      <vt:variant>
        <vt:lpwstr/>
      </vt:variant>
      <vt:variant>
        <vt:lpwstr>_Toc208727800</vt:lpwstr>
      </vt:variant>
      <vt:variant>
        <vt:i4>1966143</vt:i4>
      </vt:variant>
      <vt:variant>
        <vt:i4>116</vt:i4>
      </vt:variant>
      <vt:variant>
        <vt:i4>0</vt:i4>
      </vt:variant>
      <vt:variant>
        <vt:i4>5</vt:i4>
      </vt:variant>
      <vt:variant>
        <vt:lpwstr/>
      </vt:variant>
      <vt:variant>
        <vt:lpwstr>_Toc208727799</vt:lpwstr>
      </vt:variant>
      <vt:variant>
        <vt:i4>1966143</vt:i4>
      </vt:variant>
      <vt:variant>
        <vt:i4>110</vt:i4>
      </vt:variant>
      <vt:variant>
        <vt:i4>0</vt:i4>
      </vt:variant>
      <vt:variant>
        <vt:i4>5</vt:i4>
      </vt:variant>
      <vt:variant>
        <vt:lpwstr/>
      </vt:variant>
      <vt:variant>
        <vt:lpwstr>_Toc208727798</vt:lpwstr>
      </vt:variant>
      <vt:variant>
        <vt:i4>1966143</vt:i4>
      </vt:variant>
      <vt:variant>
        <vt:i4>104</vt:i4>
      </vt:variant>
      <vt:variant>
        <vt:i4>0</vt:i4>
      </vt:variant>
      <vt:variant>
        <vt:i4>5</vt:i4>
      </vt:variant>
      <vt:variant>
        <vt:lpwstr/>
      </vt:variant>
      <vt:variant>
        <vt:lpwstr>_Toc208727797</vt:lpwstr>
      </vt:variant>
      <vt:variant>
        <vt:i4>1966143</vt:i4>
      </vt:variant>
      <vt:variant>
        <vt:i4>98</vt:i4>
      </vt:variant>
      <vt:variant>
        <vt:i4>0</vt:i4>
      </vt:variant>
      <vt:variant>
        <vt:i4>5</vt:i4>
      </vt:variant>
      <vt:variant>
        <vt:lpwstr/>
      </vt:variant>
      <vt:variant>
        <vt:lpwstr>_Toc208727796</vt:lpwstr>
      </vt:variant>
      <vt:variant>
        <vt:i4>1966143</vt:i4>
      </vt:variant>
      <vt:variant>
        <vt:i4>92</vt:i4>
      </vt:variant>
      <vt:variant>
        <vt:i4>0</vt:i4>
      </vt:variant>
      <vt:variant>
        <vt:i4>5</vt:i4>
      </vt:variant>
      <vt:variant>
        <vt:lpwstr/>
      </vt:variant>
      <vt:variant>
        <vt:lpwstr>_Toc208727795</vt:lpwstr>
      </vt:variant>
      <vt:variant>
        <vt:i4>1966143</vt:i4>
      </vt:variant>
      <vt:variant>
        <vt:i4>86</vt:i4>
      </vt:variant>
      <vt:variant>
        <vt:i4>0</vt:i4>
      </vt:variant>
      <vt:variant>
        <vt:i4>5</vt:i4>
      </vt:variant>
      <vt:variant>
        <vt:lpwstr/>
      </vt:variant>
      <vt:variant>
        <vt:lpwstr>_Toc208727794</vt:lpwstr>
      </vt:variant>
      <vt:variant>
        <vt:i4>1966143</vt:i4>
      </vt:variant>
      <vt:variant>
        <vt:i4>80</vt:i4>
      </vt:variant>
      <vt:variant>
        <vt:i4>0</vt:i4>
      </vt:variant>
      <vt:variant>
        <vt:i4>5</vt:i4>
      </vt:variant>
      <vt:variant>
        <vt:lpwstr/>
      </vt:variant>
      <vt:variant>
        <vt:lpwstr>_Toc208727793</vt:lpwstr>
      </vt:variant>
      <vt:variant>
        <vt:i4>1966143</vt:i4>
      </vt:variant>
      <vt:variant>
        <vt:i4>74</vt:i4>
      </vt:variant>
      <vt:variant>
        <vt:i4>0</vt:i4>
      </vt:variant>
      <vt:variant>
        <vt:i4>5</vt:i4>
      </vt:variant>
      <vt:variant>
        <vt:lpwstr/>
      </vt:variant>
      <vt:variant>
        <vt:lpwstr>_Toc208727792</vt:lpwstr>
      </vt:variant>
      <vt:variant>
        <vt:i4>1966143</vt:i4>
      </vt:variant>
      <vt:variant>
        <vt:i4>68</vt:i4>
      </vt:variant>
      <vt:variant>
        <vt:i4>0</vt:i4>
      </vt:variant>
      <vt:variant>
        <vt:i4>5</vt:i4>
      </vt:variant>
      <vt:variant>
        <vt:lpwstr/>
      </vt:variant>
      <vt:variant>
        <vt:lpwstr>_Toc208727791</vt:lpwstr>
      </vt:variant>
      <vt:variant>
        <vt:i4>1966143</vt:i4>
      </vt:variant>
      <vt:variant>
        <vt:i4>62</vt:i4>
      </vt:variant>
      <vt:variant>
        <vt:i4>0</vt:i4>
      </vt:variant>
      <vt:variant>
        <vt:i4>5</vt:i4>
      </vt:variant>
      <vt:variant>
        <vt:lpwstr/>
      </vt:variant>
      <vt:variant>
        <vt:lpwstr>_Toc208727790</vt:lpwstr>
      </vt:variant>
      <vt:variant>
        <vt:i4>2031679</vt:i4>
      </vt:variant>
      <vt:variant>
        <vt:i4>56</vt:i4>
      </vt:variant>
      <vt:variant>
        <vt:i4>0</vt:i4>
      </vt:variant>
      <vt:variant>
        <vt:i4>5</vt:i4>
      </vt:variant>
      <vt:variant>
        <vt:lpwstr/>
      </vt:variant>
      <vt:variant>
        <vt:lpwstr>_Toc208727789</vt:lpwstr>
      </vt:variant>
      <vt:variant>
        <vt:i4>2031679</vt:i4>
      </vt:variant>
      <vt:variant>
        <vt:i4>50</vt:i4>
      </vt:variant>
      <vt:variant>
        <vt:i4>0</vt:i4>
      </vt:variant>
      <vt:variant>
        <vt:i4>5</vt:i4>
      </vt:variant>
      <vt:variant>
        <vt:lpwstr/>
      </vt:variant>
      <vt:variant>
        <vt:lpwstr>_Toc208727788</vt:lpwstr>
      </vt:variant>
      <vt:variant>
        <vt:i4>2031679</vt:i4>
      </vt:variant>
      <vt:variant>
        <vt:i4>44</vt:i4>
      </vt:variant>
      <vt:variant>
        <vt:i4>0</vt:i4>
      </vt:variant>
      <vt:variant>
        <vt:i4>5</vt:i4>
      </vt:variant>
      <vt:variant>
        <vt:lpwstr/>
      </vt:variant>
      <vt:variant>
        <vt:lpwstr>_Toc208727787</vt:lpwstr>
      </vt:variant>
      <vt:variant>
        <vt:i4>2031679</vt:i4>
      </vt:variant>
      <vt:variant>
        <vt:i4>38</vt:i4>
      </vt:variant>
      <vt:variant>
        <vt:i4>0</vt:i4>
      </vt:variant>
      <vt:variant>
        <vt:i4>5</vt:i4>
      </vt:variant>
      <vt:variant>
        <vt:lpwstr/>
      </vt:variant>
      <vt:variant>
        <vt:lpwstr>_Toc208727786</vt:lpwstr>
      </vt:variant>
      <vt:variant>
        <vt:i4>2031679</vt:i4>
      </vt:variant>
      <vt:variant>
        <vt:i4>32</vt:i4>
      </vt:variant>
      <vt:variant>
        <vt:i4>0</vt:i4>
      </vt:variant>
      <vt:variant>
        <vt:i4>5</vt:i4>
      </vt:variant>
      <vt:variant>
        <vt:lpwstr/>
      </vt:variant>
      <vt:variant>
        <vt:lpwstr>_Toc208727785</vt:lpwstr>
      </vt:variant>
      <vt:variant>
        <vt:i4>2031679</vt:i4>
      </vt:variant>
      <vt:variant>
        <vt:i4>26</vt:i4>
      </vt:variant>
      <vt:variant>
        <vt:i4>0</vt:i4>
      </vt:variant>
      <vt:variant>
        <vt:i4>5</vt:i4>
      </vt:variant>
      <vt:variant>
        <vt:lpwstr/>
      </vt:variant>
      <vt:variant>
        <vt:lpwstr>_Toc208727784</vt:lpwstr>
      </vt:variant>
      <vt:variant>
        <vt:i4>2031679</vt:i4>
      </vt:variant>
      <vt:variant>
        <vt:i4>20</vt:i4>
      </vt:variant>
      <vt:variant>
        <vt:i4>0</vt:i4>
      </vt:variant>
      <vt:variant>
        <vt:i4>5</vt:i4>
      </vt:variant>
      <vt:variant>
        <vt:lpwstr/>
      </vt:variant>
      <vt:variant>
        <vt:lpwstr>_Toc208727783</vt:lpwstr>
      </vt:variant>
      <vt:variant>
        <vt:i4>2031679</vt:i4>
      </vt:variant>
      <vt:variant>
        <vt:i4>14</vt:i4>
      </vt:variant>
      <vt:variant>
        <vt:i4>0</vt:i4>
      </vt:variant>
      <vt:variant>
        <vt:i4>5</vt:i4>
      </vt:variant>
      <vt:variant>
        <vt:lpwstr/>
      </vt:variant>
      <vt:variant>
        <vt:lpwstr>_Toc208727782</vt:lpwstr>
      </vt:variant>
      <vt:variant>
        <vt:i4>2031679</vt:i4>
      </vt:variant>
      <vt:variant>
        <vt:i4>8</vt:i4>
      </vt:variant>
      <vt:variant>
        <vt:i4>0</vt:i4>
      </vt:variant>
      <vt:variant>
        <vt:i4>5</vt:i4>
      </vt:variant>
      <vt:variant>
        <vt:lpwstr/>
      </vt:variant>
      <vt:variant>
        <vt:lpwstr>_Toc208727781</vt:lpwstr>
      </vt:variant>
      <vt:variant>
        <vt:i4>2031679</vt:i4>
      </vt:variant>
      <vt:variant>
        <vt:i4>2</vt:i4>
      </vt:variant>
      <vt:variant>
        <vt:i4>0</vt:i4>
      </vt:variant>
      <vt:variant>
        <vt:i4>5</vt:i4>
      </vt:variant>
      <vt:variant>
        <vt:lpwstr/>
      </vt:variant>
      <vt:variant>
        <vt:lpwstr>_Toc208727780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Studie</dc:title>
  <dc:creator>Walter Hüttler</dc:creator>
  <cp:lastModifiedBy>Robert Schwertner</cp:lastModifiedBy>
  <cp:revision>2</cp:revision>
  <cp:lastPrinted>2016-06-01T09:30:00Z</cp:lastPrinted>
  <dcterms:created xsi:type="dcterms:W3CDTF">2016-09-26T13:19:00Z</dcterms:created>
  <dcterms:modified xsi:type="dcterms:W3CDTF">2016-09-26T13:19:00Z</dcterms:modified>
</cp:coreProperties>
</file>